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D4481" w14:textId="7E4993C2"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8F396F">
        <w:rPr>
          <w:bCs/>
          <w:noProof w:val="0"/>
          <w:sz w:val="24"/>
          <w:szCs w:val="24"/>
        </w:rPr>
        <w:t>bis</w:t>
      </w:r>
      <w:r w:rsidR="00CD4C7B" w:rsidRPr="00B266B0">
        <w:rPr>
          <w:bCs/>
          <w:noProof w:val="0"/>
          <w:sz w:val="24"/>
          <w:szCs w:val="24"/>
        </w:rPr>
        <w:tab/>
      </w:r>
      <w:r w:rsidR="00172086" w:rsidRPr="00172086">
        <w:rPr>
          <w:bCs/>
          <w:noProof w:val="0"/>
          <w:sz w:val="24"/>
          <w:szCs w:val="24"/>
        </w:rPr>
        <w:t>R2-1814997</w:t>
      </w:r>
    </w:p>
    <w:p w14:paraId="6269CE05" w14:textId="77777777" w:rsidR="00CD4C7B" w:rsidRPr="00B266B0" w:rsidRDefault="008F396F" w:rsidP="00CD4C7B">
      <w:pPr>
        <w:pStyle w:val="Header"/>
        <w:tabs>
          <w:tab w:val="right" w:pos="9639"/>
        </w:tabs>
        <w:rPr>
          <w:bCs/>
          <w:noProof w:val="0"/>
          <w:sz w:val="24"/>
          <w:szCs w:val="24"/>
        </w:rPr>
      </w:pPr>
      <w:r w:rsidRPr="008F396F">
        <w:rPr>
          <w:rFonts w:eastAsia="SimSun"/>
          <w:noProof w:val="0"/>
          <w:sz w:val="24"/>
          <w:szCs w:val="24"/>
          <w:lang w:eastAsia="zh-CN"/>
        </w:rPr>
        <w:t>Chengdu, China, 08 - 12 October 2018</w:t>
      </w:r>
      <w:r w:rsidR="00364B41">
        <w:rPr>
          <w:rFonts w:eastAsia="SimSun"/>
          <w:noProof w:val="0"/>
          <w:sz w:val="24"/>
          <w:szCs w:val="24"/>
          <w:lang w:eastAsia="zh-CN"/>
        </w:rPr>
        <w:tab/>
      </w:r>
      <w:r w:rsidR="00D8502C">
        <w:rPr>
          <w:rFonts w:eastAsia="SimSun"/>
          <w:noProof w:val="0"/>
          <w:sz w:val="24"/>
          <w:szCs w:val="24"/>
          <w:lang w:eastAsia="zh-CN"/>
        </w:rPr>
        <w:t xml:space="preserve"> </w:t>
      </w:r>
    </w:p>
    <w:p w14:paraId="101188C2" w14:textId="77777777" w:rsidR="00CD4C7B" w:rsidRPr="00B266B0" w:rsidRDefault="00CD4C7B" w:rsidP="00CD4C7B">
      <w:pPr>
        <w:pStyle w:val="Header"/>
        <w:rPr>
          <w:bCs/>
          <w:noProof w:val="0"/>
          <w:sz w:val="24"/>
        </w:rPr>
      </w:pPr>
    </w:p>
    <w:p w14:paraId="0BB84662" w14:textId="77777777" w:rsidR="00CD4C7B" w:rsidRPr="00B266B0" w:rsidRDefault="00CD4C7B" w:rsidP="00CD4C7B">
      <w:pPr>
        <w:pStyle w:val="Header"/>
        <w:rPr>
          <w:bCs/>
          <w:noProof w:val="0"/>
          <w:sz w:val="24"/>
        </w:rPr>
      </w:pPr>
    </w:p>
    <w:p w14:paraId="3770D127" w14:textId="0FB70585"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E1800">
        <w:rPr>
          <w:rFonts w:cs="Arial"/>
          <w:b/>
          <w:bCs/>
          <w:sz w:val="24"/>
          <w:lang w:eastAsia="ja-JP"/>
        </w:rPr>
        <w:t>11.1.3</w:t>
      </w:r>
    </w:p>
    <w:p w14:paraId="7E149DCE"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77F6E377"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8502C">
        <w:rPr>
          <w:rFonts w:ascii="Arial" w:hAnsi="Arial" w:cs="Arial"/>
          <w:b/>
          <w:bCs/>
          <w:sz w:val="24"/>
        </w:rPr>
        <w:t>IAB</w:t>
      </w:r>
      <w:r w:rsidR="00093C44">
        <w:rPr>
          <w:rFonts w:ascii="Arial" w:hAnsi="Arial" w:cs="Arial"/>
          <w:b/>
          <w:bCs/>
          <w:sz w:val="24"/>
        </w:rPr>
        <w:t xml:space="preserve"> node discovery and monitoring</w:t>
      </w:r>
    </w:p>
    <w:p w14:paraId="55814158"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131CD">
        <w:rPr>
          <w:rFonts w:ascii="Arial" w:hAnsi="Arial" w:cs="Arial"/>
          <w:b/>
          <w:bCs/>
          <w:sz w:val="24"/>
        </w:rPr>
        <w:t>FS_</w:t>
      </w:r>
      <w:r w:rsidR="005131CD" w:rsidRPr="00112F1A">
        <w:rPr>
          <w:rFonts w:ascii="Arial" w:hAnsi="Arial" w:cs="Arial"/>
          <w:b/>
          <w:bCs/>
          <w:sz w:val="24"/>
        </w:rPr>
        <w:t>NR_</w:t>
      </w:r>
      <w:r w:rsidR="005131CD">
        <w:rPr>
          <w:rFonts w:ascii="Arial" w:hAnsi="Arial" w:cs="Arial"/>
          <w:b/>
          <w:bCs/>
          <w:sz w:val="24"/>
        </w:rPr>
        <w:t>IAB</w:t>
      </w:r>
      <w:r w:rsidR="005131CD" w:rsidRPr="00112F1A">
        <w:rPr>
          <w:rFonts w:ascii="Arial" w:hAnsi="Arial" w:cs="Arial"/>
          <w:b/>
          <w:bCs/>
          <w:sz w:val="24"/>
        </w:rPr>
        <w:t xml:space="preserve"> </w:t>
      </w:r>
      <w:r w:rsidR="005131CD">
        <w:rPr>
          <w:rFonts w:ascii="Arial" w:hAnsi="Arial" w:cs="Arial"/>
          <w:b/>
          <w:bCs/>
          <w:sz w:val="24"/>
        </w:rPr>
        <w:t>- Release 16</w:t>
      </w:r>
    </w:p>
    <w:p w14:paraId="5AB4A33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5EE62B14" w14:textId="77777777" w:rsidR="00CD4C7B" w:rsidRPr="006E13D1" w:rsidRDefault="00CD4C7B" w:rsidP="00CD4C7B">
      <w:pPr>
        <w:pStyle w:val="Heading1"/>
      </w:pPr>
      <w:r w:rsidRPr="006E13D1">
        <w:t>1</w:t>
      </w:r>
      <w:r w:rsidRPr="006E13D1">
        <w:tab/>
      </w:r>
      <w:r w:rsidR="0056573F">
        <w:t>Introduction</w:t>
      </w:r>
    </w:p>
    <w:p w14:paraId="3F0F7DA6" w14:textId="77777777" w:rsidR="0040417A" w:rsidRDefault="00967D61" w:rsidP="001A235C">
      <w:r>
        <w:t>To maximize the re-use of existing NR specifications, it is assumed that the mobility procedures and related RRM measurements are used as the basis for topology adaptation and BH changes. Related to measurements, current TR lists following options to be studied:</w:t>
      </w:r>
    </w:p>
    <w:p w14:paraId="50542BE9" w14:textId="77777777" w:rsidR="00967D61" w:rsidRPr="00967D61" w:rsidRDefault="00967D61" w:rsidP="00967D61">
      <w:pPr>
        <w:pStyle w:val="ListParagraph"/>
        <w:numPr>
          <w:ilvl w:val="0"/>
          <w:numId w:val="6"/>
        </w:numPr>
        <w:spacing w:after="180"/>
        <w:ind w:left="928"/>
        <w:rPr>
          <w:rFonts w:ascii="Times New Roman" w:eastAsia="Yu Mincho" w:hAnsi="Times New Roman" w:cs="Times New Roman"/>
          <w:i/>
          <w:sz w:val="20"/>
          <w:szCs w:val="20"/>
          <w:lang w:eastAsia="en-US"/>
        </w:rPr>
      </w:pPr>
      <w:r w:rsidRPr="00967D61">
        <w:rPr>
          <w:rFonts w:ascii="Times New Roman" w:eastAsia="Yu Mincho" w:hAnsi="Times New Roman" w:cs="Times New Roman"/>
          <w:i/>
          <w:sz w:val="20"/>
          <w:szCs w:val="20"/>
          <w:lang w:eastAsia="en-US"/>
        </w:rPr>
        <w:t>TDM of SSBs (e.g. depending on hop order, cell ID, etc.)</w:t>
      </w:r>
    </w:p>
    <w:p w14:paraId="482564FB" w14:textId="77777777" w:rsidR="00967D61" w:rsidRPr="00967D61" w:rsidRDefault="00967D61" w:rsidP="00967D61">
      <w:pPr>
        <w:pStyle w:val="ListParagraph"/>
        <w:numPr>
          <w:ilvl w:val="0"/>
          <w:numId w:val="6"/>
        </w:numPr>
        <w:spacing w:after="180"/>
        <w:ind w:left="928"/>
        <w:rPr>
          <w:rFonts w:ascii="Times New Roman" w:eastAsia="Yu Mincho" w:hAnsi="Times New Roman" w:cs="Times New Roman"/>
          <w:i/>
          <w:sz w:val="20"/>
          <w:szCs w:val="20"/>
          <w:lang w:eastAsia="en-US"/>
        </w:rPr>
      </w:pPr>
      <w:r w:rsidRPr="00967D61">
        <w:rPr>
          <w:rFonts w:ascii="Times New Roman" w:eastAsia="Yu Mincho" w:hAnsi="Times New Roman" w:cs="Times New Roman"/>
          <w:i/>
          <w:sz w:val="20"/>
          <w:szCs w:val="20"/>
          <w:lang w:eastAsia="en-US"/>
        </w:rPr>
        <w:t xml:space="preserve">SSB muting across IAB-nodes </w:t>
      </w:r>
    </w:p>
    <w:p w14:paraId="5D9FDB21" w14:textId="77777777" w:rsidR="00967D61" w:rsidRPr="00967D61" w:rsidRDefault="00967D61" w:rsidP="00967D61">
      <w:pPr>
        <w:pStyle w:val="ListParagraph"/>
        <w:numPr>
          <w:ilvl w:val="0"/>
          <w:numId w:val="6"/>
        </w:numPr>
        <w:spacing w:after="180"/>
        <w:ind w:left="928"/>
        <w:rPr>
          <w:rFonts w:ascii="Times New Roman" w:eastAsia="Yu Mincho" w:hAnsi="Times New Roman" w:cs="Times New Roman"/>
          <w:i/>
          <w:sz w:val="20"/>
          <w:szCs w:val="20"/>
          <w:lang w:eastAsia="en-US"/>
        </w:rPr>
      </w:pPr>
      <w:r w:rsidRPr="00967D61">
        <w:rPr>
          <w:rFonts w:ascii="Times New Roman" w:eastAsia="Yu Mincho" w:hAnsi="Times New Roman" w:cs="Times New Roman"/>
          <w:i/>
          <w:sz w:val="20"/>
          <w:szCs w:val="20"/>
          <w:lang w:eastAsia="en-US"/>
        </w:rPr>
        <w:t xml:space="preserve">Multiplexing of SSBs for access UEs and IABs within a half-frame or across half-frames </w:t>
      </w:r>
    </w:p>
    <w:p w14:paraId="58A67B0C" w14:textId="77777777" w:rsidR="00967D61" w:rsidRPr="00967D61" w:rsidRDefault="00967D61" w:rsidP="00967D61">
      <w:pPr>
        <w:pStyle w:val="ListParagraph"/>
        <w:numPr>
          <w:ilvl w:val="0"/>
          <w:numId w:val="6"/>
        </w:numPr>
        <w:spacing w:after="180"/>
        <w:ind w:left="928"/>
        <w:rPr>
          <w:rFonts w:ascii="Times New Roman" w:eastAsia="Yu Mincho" w:hAnsi="Times New Roman" w:cs="Times New Roman"/>
          <w:i/>
          <w:sz w:val="20"/>
          <w:szCs w:val="20"/>
          <w:lang w:eastAsia="en-US"/>
        </w:rPr>
      </w:pPr>
      <w:r w:rsidRPr="00967D61">
        <w:rPr>
          <w:rFonts w:ascii="Times New Roman" w:eastAsia="Yu Mincho" w:hAnsi="Times New Roman" w:cs="Times New Roman"/>
          <w:i/>
          <w:sz w:val="20"/>
          <w:szCs w:val="20"/>
          <w:lang w:eastAsia="en-US"/>
        </w:rPr>
        <w:t>Additional IAB-node discovery signal which is TDM with Rel-15 SSB transmissions (e.g. CSI-RS)</w:t>
      </w:r>
    </w:p>
    <w:p w14:paraId="05CB5115" w14:textId="77777777" w:rsidR="00967D61" w:rsidRPr="00967D61" w:rsidRDefault="00967D61" w:rsidP="00967D61">
      <w:pPr>
        <w:pStyle w:val="ListParagraph"/>
        <w:numPr>
          <w:ilvl w:val="0"/>
          <w:numId w:val="6"/>
        </w:numPr>
        <w:spacing w:after="180"/>
        <w:ind w:left="928"/>
        <w:rPr>
          <w:rFonts w:ascii="Times New Roman" w:eastAsia="Yu Mincho" w:hAnsi="Times New Roman" w:cs="Times New Roman"/>
          <w:i/>
          <w:sz w:val="20"/>
          <w:szCs w:val="20"/>
          <w:lang w:eastAsia="en-US"/>
        </w:rPr>
      </w:pPr>
      <w:r w:rsidRPr="00967D61">
        <w:rPr>
          <w:rFonts w:ascii="Times New Roman" w:eastAsia="Yu Mincho" w:hAnsi="Times New Roman" w:cs="Times New Roman"/>
          <w:i/>
          <w:sz w:val="20"/>
          <w:szCs w:val="20"/>
          <w:lang w:eastAsia="en-US"/>
        </w:rPr>
        <w:t>Use of off-raster SSBs</w:t>
      </w:r>
    </w:p>
    <w:p w14:paraId="63F23E4F" w14:textId="77777777" w:rsidR="00967D61" w:rsidRPr="00967D61" w:rsidRDefault="00967D61" w:rsidP="00967D61">
      <w:pPr>
        <w:pStyle w:val="ListParagraph"/>
        <w:numPr>
          <w:ilvl w:val="0"/>
          <w:numId w:val="6"/>
        </w:numPr>
        <w:spacing w:after="180"/>
        <w:ind w:left="928"/>
        <w:rPr>
          <w:rFonts w:ascii="Times New Roman" w:eastAsia="Yu Mincho" w:hAnsi="Times New Roman" w:cs="Times New Roman"/>
          <w:i/>
          <w:sz w:val="20"/>
          <w:szCs w:val="20"/>
          <w:lang w:eastAsia="en-US"/>
        </w:rPr>
      </w:pPr>
      <w:r w:rsidRPr="00967D61">
        <w:rPr>
          <w:rFonts w:ascii="Times New Roman" w:eastAsia="Yu Mincho" w:hAnsi="Times New Roman" w:cs="Times New Roman"/>
          <w:i/>
          <w:sz w:val="20"/>
          <w:szCs w:val="20"/>
          <w:lang w:eastAsia="en-US"/>
        </w:rPr>
        <w:t>Different transmission periodicity for backhaul link detection and measurement compared to the periodicity used by access UEs</w:t>
      </w:r>
    </w:p>
    <w:p w14:paraId="5F4D58EE" w14:textId="77777777" w:rsidR="00967D61" w:rsidRPr="00967D61" w:rsidRDefault="00967D61" w:rsidP="00967D61">
      <w:pPr>
        <w:spacing w:before="60" w:after="120"/>
        <w:ind w:left="208"/>
        <w:jc w:val="both"/>
        <w:rPr>
          <w:rFonts w:eastAsia="Malgun Gothic"/>
          <w:i/>
          <w:lang w:eastAsia="ko-KR"/>
        </w:rPr>
      </w:pPr>
      <w:r w:rsidRPr="00967D61">
        <w:rPr>
          <w:i/>
          <w:lang w:val="en-US"/>
        </w:rPr>
        <w:t xml:space="preserve">Coordination mechanisms for the different solutions should be further studied, including </w:t>
      </w:r>
      <w:r w:rsidRPr="00967D61">
        <w:rPr>
          <w:rFonts w:eastAsia="Malgun Gothic"/>
          <w:i/>
          <w:lang w:eastAsia="ko-KR"/>
        </w:rPr>
        <w:t xml:space="preserve">mechanisms for coordination of RS transmission and measurement occasions for IAB-nodes. </w:t>
      </w:r>
    </w:p>
    <w:p w14:paraId="35598272" w14:textId="77777777" w:rsidR="00967D61" w:rsidRDefault="00967D61" w:rsidP="00967D61">
      <w:pPr>
        <w:spacing w:before="60" w:after="120"/>
        <w:ind w:left="208"/>
        <w:jc w:val="both"/>
        <w:rPr>
          <w:rFonts w:eastAsia="Malgun Gothic"/>
          <w:lang w:eastAsia="ko-KR"/>
        </w:rPr>
      </w:pPr>
      <w:r w:rsidRPr="00967D61">
        <w:rPr>
          <w:rFonts w:eastAsia="Malgun Gothic"/>
          <w:i/>
          <w:lang w:eastAsia="ko-KR"/>
        </w:rPr>
        <w:t>Enhancements of SMTC and CSI-RS configurations to support RRM measurement for IAB-nodes can be considered as part of the study.</w:t>
      </w:r>
    </w:p>
    <w:p w14:paraId="45EE1D0A" w14:textId="77777777" w:rsidR="001A235C" w:rsidRPr="001A235C" w:rsidRDefault="001A235C" w:rsidP="001A235C">
      <w:r w:rsidRPr="001A235C">
        <w:t xml:space="preserve">RAN1#94 </w:t>
      </w:r>
      <w:r w:rsidR="007D57A0">
        <w:t xml:space="preserve">discussed the topic and </w:t>
      </w:r>
      <w:r w:rsidRPr="001A235C">
        <w:t>agreed following</w:t>
      </w:r>
      <w:r w:rsidR="007D57A0">
        <w:t xml:space="preserve"> </w:t>
      </w:r>
      <w:r w:rsidR="007D57A0">
        <w:fldChar w:fldCharType="begin"/>
      </w:r>
      <w:r w:rsidR="007D57A0">
        <w:instrText xml:space="preserve"> REF _Ref525296809 \r \h </w:instrText>
      </w:r>
      <w:r w:rsidR="007D57A0">
        <w:fldChar w:fldCharType="separate"/>
      </w:r>
      <w:r w:rsidR="007D57A0">
        <w:t>[3]</w:t>
      </w:r>
      <w:r w:rsidR="007D57A0">
        <w:fldChar w:fldCharType="end"/>
      </w:r>
      <w:r w:rsidRPr="001A235C">
        <w:t>:</w:t>
      </w:r>
    </w:p>
    <w:p w14:paraId="5ADCE95D" w14:textId="77777777" w:rsidR="001A235C" w:rsidRPr="007D57A0" w:rsidRDefault="001A235C" w:rsidP="00B57104">
      <w:pPr>
        <w:numPr>
          <w:ilvl w:val="0"/>
          <w:numId w:val="5"/>
        </w:numPr>
        <w:spacing w:after="0"/>
        <w:ind w:hanging="357"/>
        <w:jc w:val="both"/>
        <w:rPr>
          <w:rFonts w:eastAsia="Malgun Gothic"/>
          <w:i/>
          <w:lang w:eastAsia="ko-KR"/>
        </w:rPr>
      </w:pPr>
      <w:r w:rsidRPr="007D57A0">
        <w:rPr>
          <w:rFonts w:eastAsia="Malgun Gothic"/>
          <w:i/>
          <w:lang w:eastAsia="ko-KR"/>
        </w:rPr>
        <w:t>For the purpose of inter-IAB node and donor detection after the IAB node DU becomes active (Stage 2) at least one of</w:t>
      </w:r>
      <w:r w:rsidRPr="007D57A0">
        <w:rPr>
          <w:rFonts w:eastAsia="Malgun Gothic"/>
          <w:i/>
          <w:color w:val="FF0000"/>
          <w:lang w:eastAsia="ko-KR"/>
        </w:rPr>
        <w:t xml:space="preserve"> </w:t>
      </w:r>
      <w:r w:rsidRPr="007D57A0">
        <w:rPr>
          <w:rFonts w:eastAsia="Malgun Gothic"/>
          <w:i/>
          <w:lang w:eastAsia="ko-KR"/>
        </w:rPr>
        <w:t>the following solutions should be supported:</w:t>
      </w:r>
    </w:p>
    <w:p w14:paraId="67F181BB" w14:textId="77777777" w:rsidR="001A235C" w:rsidRPr="007D57A0" w:rsidRDefault="001A235C" w:rsidP="00B57104">
      <w:pPr>
        <w:numPr>
          <w:ilvl w:val="1"/>
          <w:numId w:val="5"/>
        </w:numPr>
        <w:spacing w:after="0"/>
        <w:ind w:hanging="357"/>
        <w:jc w:val="both"/>
        <w:rPr>
          <w:rFonts w:eastAsia="Malgun Gothic"/>
          <w:i/>
          <w:lang w:eastAsia="ko-KR"/>
        </w:rPr>
      </w:pPr>
      <w:r w:rsidRPr="007D57A0">
        <w:rPr>
          <w:rFonts w:eastAsia="Malgun Gothic"/>
          <w:i/>
          <w:lang w:eastAsia="ko-KR"/>
        </w:rPr>
        <w:t>SSB-based solutions (</w:t>
      </w:r>
      <w:r w:rsidRPr="00B57104">
        <w:rPr>
          <w:rFonts w:eastAsia="Malgun Gothic"/>
          <w:b/>
          <w:i/>
          <w:lang w:eastAsia="ko-KR"/>
        </w:rPr>
        <w:t>Solution 1</w:t>
      </w:r>
      <w:r w:rsidRPr="007D57A0">
        <w:rPr>
          <w:rFonts w:eastAsia="Malgun Gothic"/>
          <w:i/>
          <w:lang w:eastAsia="ko-KR"/>
        </w:rPr>
        <w:t>):</w:t>
      </w:r>
    </w:p>
    <w:p w14:paraId="370AC0D2" w14:textId="77777777" w:rsidR="001A235C" w:rsidRPr="007D57A0" w:rsidRDefault="001A235C" w:rsidP="00B57104">
      <w:pPr>
        <w:numPr>
          <w:ilvl w:val="3"/>
          <w:numId w:val="5"/>
        </w:numPr>
        <w:spacing w:after="0"/>
        <w:ind w:hanging="357"/>
        <w:jc w:val="both"/>
        <w:rPr>
          <w:rFonts w:eastAsia="Malgun Gothic"/>
          <w:i/>
          <w:lang w:eastAsia="ko-KR"/>
        </w:rPr>
      </w:pPr>
      <w:r w:rsidRPr="00B57104">
        <w:rPr>
          <w:rFonts w:eastAsia="Malgun Gothic"/>
          <w:b/>
          <w:i/>
          <w:lang w:eastAsia="ko-KR"/>
        </w:rPr>
        <w:t>Solution 1-A</w:t>
      </w:r>
      <w:r w:rsidRPr="007D57A0">
        <w:rPr>
          <w:rFonts w:eastAsia="Malgun Gothic"/>
          <w:i/>
          <w:lang w:eastAsia="ko-KR"/>
        </w:rPr>
        <w:t>) Reusing the same set of SSBs used for access UEs</w:t>
      </w:r>
    </w:p>
    <w:p w14:paraId="3294029E" w14:textId="77777777" w:rsidR="001A235C" w:rsidRPr="007D57A0" w:rsidRDefault="001A235C" w:rsidP="00B57104">
      <w:pPr>
        <w:numPr>
          <w:ilvl w:val="3"/>
          <w:numId w:val="5"/>
        </w:numPr>
        <w:spacing w:after="0"/>
        <w:ind w:hanging="357"/>
        <w:jc w:val="both"/>
        <w:rPr>
          <w:rFonts w:eastAsia="Malgun Gothic"/>
          <w:i/>
          <w:lang w:eastAsia="ko-KR"/>
        </w:rPr>
      </w:pPr>
      <w:r w:rsidRPr="00B57104">
        <w:rPr>
          <w:rFonts w:eastAsia="Malgun Gothic"/>
          <w:b/>
          <w:i/>
          <w:lang w:eastAsia="ko-KR"/>
        </w:rPr>
        <w:t>Solution 1-B</w:t>
      </w:r>
      <w:r w:rsidRPr="007D57A0">
        <w:rPr>
          <w:rFonts w:eastAsia="Malgun Gothic"/>
          <w:i/>
          <w:lang w:eastAsia="ko-KR"/>
        </w:rPr>
        <w:t>) Use of SSBs which are orthogonal (TDM and/or FDM) with SSBs used for access UEs</w:t>
      </w:r>
    </w:p>
    <w:p w14:paraId="7335486E" w14:textId="77777777" w:rsidR="001A235C" w:rsidRPr="007D57A0" w:rsidRDefault="001A235C" w:rsidP="00B57104">
      <w:pPr>
        <w:numPr>
          <w:ilvl w:val="2"/>
          <w:numId w:val="5"/>
        </w:numPr>
        <w:spacing w:after="0"/>
        <w:ind w:hanging="357"/>
        <w:jc w:val="both"/>
        <w:rPr>
          <w:rFonts w:eastAsia="Malgun Gothic"/>
          <w:i/>
          <w:lang w:eastAsia="ko-KR"/>
        </w:rPr>
      </w:pPr>
      <w:r w:rsidRPr="007D57A0">
        <w:rPr>
          <w:rFonts w:eastAsia="Malgun Gothic"/>
          <w:i/>
          <w:lang w:eastAsia="ko-KR"/>
        </w:rPr>
        <w:t xml:space="preserve">Mechanisms to support half-duplex transmission/measurement of SSBs (e.g. muting patterns) for Solution 1-A) or Solution 1-B) </w:t>
      </w:r>
    </w:p>
    <w:p w14:paraId="5E28866A" w14:textId="77777777" w:rsidR="001A235C" w:rsidRPr="007D57A0" w:rsidRDefault="001A235C" w:rsidP="00B57104">
      <w:pPr>
        <w:numPr>
          <w:ilvl w:val="2"/>
          <w:numId w:val="5"/>
        </w:numPr>
        <w:spacing w:after="0"/>
        <w:ind w:hanging="357"/>
        <w:jc w:val="both"/>
        <w:rPr>
          <w:rFonts w:eastAsia="Malgun Gothic"/>
          <w:i/>
          <w:lang w:eastAsia="ko-KR"/>
        </w:rPr>
      </w:pPr>
      <w:r w:rsidRPr="007D57A0">
        <w:rPr>
          <w:rFonts w:eastAsia="Malgun Gothic"/>
          <w:i/>
          <w:lang w:eastAsia="ko-KR"/>
        </w:rPr>
        <w:t>Further study potential impacts of the above solutions on access UEs performing initial access/in IDLE mode, including:</w:t>
      </w:r>
    </w:p>
    <w:p w14:paraId="53B9846C" w14:textId="77777777" w:rsidR="001A235C" w:rsidRPr="007D57A0" w:rsidRDefault="001A235C" w:rsidP="00B57104">
      <w:pPr>
        <w:numPr>
          <w:ilvl w:val="3"/>
          <w:numId w:val="5"/>
        </w:numPr>
        <w:spacing w:after="0"/>
        <w:ind w:hanging="357"/>
        <w:jc w:val="both"/>
        <w:rPr>
          <w:rFonts w:eastAsia="Malgun Gothic"/>
          <w:i/>
          <w:lang w:eastAsia="ko-KR"/>
        </w:rPr>
      </w:pPr>
      <w:r w:rsidRPr="007D57A0">
        <w:rPr>
          <w:rFonts w:eastAsia="Malgun Gothic"/>
          <w:i/>
          <w:lang w:eastAsia="ko-KR"/>
        </w:rPr>
        <w:t>Cell detection/measurement performance impact due to loss of SSB occasions due to muting</w:t>
      </w:r>
    </w:p>
    <w:p w14:paraId="0F19FD00" w14:textId="77777777" w:rsidR="001A235C" w:rsidRPr="007D57A0" w:rsidRDefault="001A235C" w:rsidP="00B57104">
      <w:pPr>
        <w:numPr>
          <w:ilvl w:val="3"/>
          <w:numId w:val="5"/>
        </w:numPr>
        <w:spacing w:after="0"/>
        <w:ind w:hanging="357"/>
        <w:jc w:val="both"/>
        <w:rPr>
          <w:rFonts w:eastAsia="Malgun Gothic"/>
          <w:i/>
          <w:lang w:eastAsia="ko-KR"/>
        </w:rPr>
      </w:pPr>
      <w:r w:rsidRPr="007D57A0">
        <w:rPr>
          <w:rFonts w:eastAsia="Malgun Gothic"/>
          <w:i/>
          <w:lang w:eastAsia="ko-KR"/>
        </w:rPr>
        <w:t>Discovery of SSBs by access UEs which are intended only for IAB node discovery</w:t>
      </w:r>
    </w:p>
    <w:p w14:paraId="730BB3B3" w14:textId="77777777" w:rsidR="001A235C" w:rsidRPr="007D57A0" w:rsidRDefault="001A235C" w:rsidP="00B57104">
      <w:pPr>
        <w:numPr>
          <w:ilvl w:val="1"/>
          <w:numId w:val="5"/>
        </w:numPr>
        <w:spacing w:after="0"/>
        <w:ind w:hanging="357"/>
        <w:jc w:val="both"/>
        <w:rPr>
          <w:rFonts w:eastAsia="Malgun Gothic"/>
          <w:i/>
          <w:lang w:eastAsia="ko-KR"/>
        </w:rPr>
      </w:pPr>
      <w:r w:rsidRPr="007D57A0">
        <w:rPr>
          <w:rFonts w:eastAsia="Malgun Gothic"/>
          <w:i/>
          <w:lang w:eastAsia="ko-KR"/>
        </w:rPr>
        <w:t>CSI-RS based solutions (</w:t>
      </w:r>
      <w:r w:rsidRPr="00B57104">
        <w:rPr>
          <w:rFonts w:eastAsia="Malgun Gothic"/>
          <w:b/>
          <w:i/>
          <w:lang w:eastAsia="ko-KR"/>
        </w:rPr>
        <w:t>Solution 2</w:t>
      </w:r>
      <w:r w:rsidRPr="007D57A0">
        <w:rPr>
          <w:rFonts w:eastAsia="Malgun Gothic"/>
          <w:i/>
          <w:lang w:eastAsia="ko-KR"/>
        </w:rPr>
        <w:t>)</w:t>
      </w:r>
    </w:p>
    <w:p w14:paraId="22F9DDE7" w14:textId="77777777" w:rsidR="001A235C" w:rsidRPr="007D57A0" w:rsidRDefault="001A235C" w:rsidP="00B57104">
      <w:pPr>
        <w:numPr>
          <w:ilvl w:val="2"/>
          <w:numId w:val="5"/>
        </w:numPr>
        <w:spacing w:after="0"/>
        <w:ind w:hanging="357"/>
        <w:jc w:val="both"/>
        <w:rPr>
          <w:rFonts w:eastAsia="Malgun Gothic"/>
          <w:i/>
          <w:lang w:eastAsia="ko-KR"/>
        </w:rPr>
      </w:pPr>
      <w:r w:rsidRPr="007D57A0">
        <w:rPr>
          <w:rFonts w:eastAsia="Malgun Gothic"/>
          <w:i/>
          <w:lang w:eastAsia="ko-KR"/>
        </w:rPr>
        <w:t xml:space="preserve">Feasibility of CSI-RS only based discovery in case of unsynchronized network operation </w:t>
      </w:r>
    </w:p>
    <w:p w14:paraId="66C2B4C4" w14:textId="77777777" w:rsidR="001A235C" w:rsidRPr="007D57A0" w:rsidRDefault="001A235C" w:rsidP="00B57104">
      <w:pPr>
        <w:numPr>
          <w:ilvl w:val="0"/>
          <w:numId w:val="5"/>
        </w:numPr>
        <w:spacing w:after="0"/>
        <w:ind w:hanging="357"/>
        <w:jc w:val="both"/>
        <w:rPr>
          <w:rFonts w:eastAsia="Malgun Gothic"/>
          <w:i/>
          <w:lang w:eastAsia="ko-KR"/>
        </w:rPr>
      </w:pPr>
      <w:r w:rsidRPr="007D57A0">
        <w:rPr>
          <w:rFonts w:eastAsia="Malgun Gothic"/>
          <w:i/>
          <w:lang w:eastAsia="ko-KR"/>
        </w:rPr>
        <w:t>Further study enhancements to existing configurations (e.g. SMTC and CSI-RS configuration) and inter-node coordination (e.g. F1) for Solutions 1) or 2) and possibility of aperiodic transmission of SSBs/CSI-RS</w:t>
      </w:r>
    </w:p>
    <w:p w14:paraId="569DB8D7" w14:textId="77777777" w:rsidR="001A235C" w:rsidRDefault="001A235C" w:rsidP="001A235C"/>
    <w:p w14:paraId="7BC8F0AF" w14:textId="77777777" w:rsidR="006B187F" w:rsidRPr="00453A67" w:rsidRDefault="006B187F" w:rsidP="006B187F">
      <w:pPr>
        <w:numPr>
          <w:ilvl w:val="0"/>
          <w:numId w:val="11"/>
        </w:numPr>
        <w:spacing w:after="0"/>
        <w:rPr>
          <w:i/>
        </w:rPr>
      </w:pPr>
      <w:r w:rsidRPr="00453A67">
        <w:rPr>
          <w:i/>
        </w:rPr>
        <w:t xml:space="preserve">In case of SA deployments, </w:t>
      </w:r>
      <w:r w:rsidRPr="00B57104">
        <w:rPr>
          <w:b/>
          <w:i/>
        </w:rPr>
        <w:t>initial IAB node discovery by the MT (Stage 1) follows the Rel.15 procedure for cell search and initial access based on SSBs available for access UEs without additional required specification support</w:t>
      </w:r>
      <w:r w:rsidRPr="00453A67">
        <w:rPr>
          <w:i/>
        </w:rPr>
        <w:t>.</w:t>
      </w:r>
    </w:p>
    <w:p w14:paraId="66C66EF2" w14:textId="77777777" w:rsidR="006B187F" w:rsidRPr="00E5073D" w:rsidRDefault="006B187F" w:rsidP="00B57104">
      <w:pPr>
        <w:numPr>
          <w:ilvl w:val="1"/>
          <w:numId w:val="11"/>
        </w:numPr>
        <w:spacing w:after="0"/>
        <w:rPr>
          <w:i/>
        </w:rPr>
      </w:pPr>
      <w:r w:rsidRPr="00453A67">
        <w:rPr>
          <w:i/>
        </w:rPr>
        <w:t>FFS: how to support NSA deployment</w:t>
      </w:r>
    </w:p>
    <w:p w14:paraId="659B200A" w14:textId="77777777" w:rsidR="006B187F" w:rsidRPr="00453A67" w:rsidRDefault="006B187F" w:rsidP="006B187F">
      <w:pPr>
        <w:numPr>
          <w:ilvl w:val="1"/>
          <w:numId w:val="11"/>
        </w:numPr>
        <w:spacing w:after="0"/>
        <w:rPr>
          <w:i/>
        </w:rPr>
      </w:pPr>
      <w:r w:rsidRPr="00453A67">
        <w:rPr>
          <w:i/>
        </w:rPr>
        <w:t>FFS whether Stage 2 enhancements (if any) can be applied to Stage 1</w:t>
      </w:r>
    </w:p>
    <w:p w14:paraId="0B290F94" w14:textId="77777777" w:rsidR="006B187F" w:rsidRPr="001A235C" w:rsidRDefault="006B187F" w:rsidP="001A235C"/>
    <w:p w14:paraId="4147627A" w14:textId="77777777" w:rsidR="00CD4C7B" w:rsidRDefault="007D57A0" w:rsidP="001A235C">
      <w:r>
        <w:lastRenderedPageBreak/>
        <w:t>In this paper we elaborate the two solutions identified for node detection as well as required configurations that would enable desired operation.</w:t>
      </w:r>
    </w:p>
    <w:p w14:paraId="6A99C79F" w14:textId="77777777" w:rsidR="00AE70C4" w:rsidRPr="00AE70C4" w:rsidRDefault="00AE70C4" w:rsidP="00AE70C4">
      <w:pPr>
        <w:pStyle w:val="Heading1"/>
      </w:pPr>
      <w:r>
        <w:t>2</w:t>
      </w:r>
      <w:r w:rsidRPr="006E13D1">
        <w:tab/>
      </w:r>
      <w:r>
        <w:t>Initial access</w:t>
      </w:r>
    </w:p>
    <w:p w14:paraId="288C0EC8" w14:textId="77777777" w:rsidR="00AE70C4" w:rsidRDefault="00AE70C4" w:rsidP="00AE70C4">
      <w:pPr>
        <w:pStyle w:val="Heading2"/>
      </w:pPr>
      <w:r>
        <w:t>2</w:t>
      </w:r>
      <w:r w:rsidRPr="006E13D1">
        <w:t>.1</w:t>
      </w:r>
      <w:r w:rsidRPr="006E13D1">
        <w:tab/>
      </w:r>
      <w:r>
        <w:t>SSB based detection</w:t>
      </w:r>
      <w:r w:rsidR="009B57EB">
        <w:t xml:space="preserve"> and node selection</w:t>
      </w:r>
    </w:p>
    <w:p w14:paraId="201FD757" w14:textId="74ED2D8D" w:rsidR="007A1810" w:rsidRDefault="00E5073D" w:rsidP="00487004">
      <w:r>
        <w:t xml:space="preserve">As agreed in RAN1#94, </w:t>
      </w:r>
      <w:r w:rsidR="00AE70C4" w:rsidRPr="00AE70C4">
        <w:t xml:space="preserve">IAB </w:t>
      </w:r>
      <w:r>
        <w:t xml:space="preserve">node </w:t>
      </w:r>
      <w:r w:rsidR="00AE70C4" w:rsidRPr="00AE70C4">
        <w:t xml:space="preserve">(MT) initial access </w:t>
      </w:r>
      <w:r w:rsidR="00487004">
        <w:t>wi</w:t>
      </w:r>
      <w:r w:rsidR="00AE70C4" w:rsidRPr="00AE70C4">
        <w:t>ll be id</w:t>
      </w:r>
      <w:r w:rsidR="00487004">
        <w:t>entical to that of an access UE. IAB-MT</w:t>
      </w:r>
      <w:r w:rsidR="00AE70C4" w:rsidRPr="00AE70C4">
        <w:t xml:space="preserve"> detects and selects serving cell based on SSB measurements and broadcast system information</w:t>
      </w:r>
      <w:r w:rsidR="00487004">
        <w:t xml:space="preserve">. </w:t>
      </w:r>
      <w:r w:rsidR="007A1810">
        <w:t>There are no specific requirements h</w:t>
      </w:r>
      <w:r w:rsidR="00487004">
        <w:t xml:space="preserve">ow the MT (or UE) carries out the measurements for cell detection </w:t>
      </w:r>
      <w:r w:rsidR="007A1810">
        <w:t>is up to implementation. The measurements will be anyway based on scanning of the synchronization signals sent by gNB</w:t>
      </w:r>
      <w:r w:rsidR="009B57EB">
        <w:t>s</w:t>
      </w:r>
      <w:r w:rsidR="007A1810">
        <w:t>.</w:t>
      </w:r>
      <w:r w:rsidR="009B57EB">
        <w:t xml:space="preserve"> The cell with strongest detectable SS can be ranked as the best cell. </w:t>
      </w:r>
      <w:r w:rsidR="007A1810">
        <w:t xml:space="preserve">Broadcast system information </w:t>
      </w:r>
      <w:r w:rsidR="009B57EB">
        <w:t xml:space="preserve">(PBCH, SI) </w:t>
      </w:r>
      <w:r w:rsidR="007A1810">
        <w:t>indicate whether the cell is suitable and where the access can be initiated</w:t>
      </w:r>
      <w:r w:rsidR="009B57EB">
        <w:t xml:space="preserve">. For a suitable cell, the PLMN has to be </w:t>
      </w:r>
      <w:r w:rsidR="00821050">
        <w:t xml:space="preserve">an </w:t>
      </w:r>
      <w:r w:rsidR="009B57EB">
        <w:t xml:space="preserve">allowed </w:t>
      </w:r>
      <w:r w:rsidR="00821050">
        <w:t xml:space="preserve">one </w:t>
      </w:r>
      <w:r w:rsidR="009B57EB">
        <w:t>and the access control is not preventing the access.</w:t>
      </w:r>
    </w:p>
    <w:p w14:paraId="0094DF6E" w14:textId="77777777" w:rsidR="00821050" w:rsidRDefault="00487004" w:rsidP="005B7562">
      <w:pPr>
        <w:spacing w:after="60"/>
      </w:pPr>
      <w:r>
        <w:t xml:space="preserve">It </w:t>
      </w:r>
      <w:r w:rsidR="00821050">
        <w:t xml:space="preserve">has been </w:t>
      </w:r>
      <w:r>
        <w:t xml:space="preserve">FFS </w:t>
      </w:r>
      <w:r w:rsidR="00AE70C4" w:rsidRPr="00AE70C4">
        <w:t xml:space="preserve">if additional information about the IAB </w:t>
      </w:r>
      <w:r w:rsidR="00821050">
        <w:t xml:space="preserve">support and </w:t>
      </w:r>
      <w:r w:rsidR="00AE70C4" w:rsidRPr="00AE70C4">
        <w:t xml:space="preserve">deployment </w:t>
      </w:r>
      <w:r w:rsidR="00821050">
        <w:t xml:space="preserve">needs to be </w:t>
      </w:r>
      <w:r w:rsidR="00AE70C4" w:rsidRPr="00AE70C4">
        <w:t>broadcast to assist IAB cell selection</w:t>
      </w:r>
      <w:r w:rsidR="009B57EB">
        <w:t>. Such information can be</w:t>
      </w:r>
      <w:r w:rsidR="005B7562">
        <w:t>:</w:t>
      </w:r>
    </w:p>
    <w:p w14:paraId="6A4C22A0" w14:textId="77777777" w:rsidR="00821050" w:rsidRPr="00821050" w:rsidRDefault="00821050" w:rsidP="00821050">
      <w:pPr>
        <w:pStyle w:val="ListParagraph"/>
        <w:numPr>
          <w:ilvl w:val="0"/>
          <w:numId w:val="7"/>
        </w:numPr>
        <w:rPr>
          <w:rFonts w:ascii="Times New Roman" w:eastAsia="Times New Roman" w:hAnsi="Times New Roman" w:cs="Times New Roman"/>
          <w:sz w:val="20"/>
          <w:szCs w:val="20"/>
          <w:lang w:eastAsia="en-US"/>
        </w:rPr>
      </w:pPr>
      <w:r w:rsidRPr="00821050">
        <w:rPr>
          <w:rFonts w:ascii="Times New Roman" w:eastAsia="Times New Roman" w:hAnsi="Times New Roman" w:cs="Times New Roman"/>
          <w:sz w:val="20"/>
          <w:szCs w:val="20"/>
          <w:lang w:eastAsia="en-US"/>
        </w:rPr>
        <w:t>An indication about the IAB support</w:t>
      </w:r>
    </w:p>
    <w:p w14:paraId="05D93FA7" w14:textId="77777777" w:rsidR="00821050" w:rsidRPr="00821050" w:rsidRDefault="00821050" w:rsidP="00821050">
      <w:pPr>
        <w:pStyle w:val="ListParagraph"/>
        <w:numPr>
          <w:ilvl w:val="0"/>
          <w:numId w:val="7"/>
        </w:numPr>
        <w:rPr>
          <w:rFonts w:ascii="Times New Roman" w:eastAsia="Times New Roman" w:hAnsi="Times New Roman" w:cs="Times New Roman"/>
          <w:sz w:val="20"/>
          <w:szCs w:val="20"/>
          <w:lang w:eastAsia="en-US"/>
        </w:rPr>
      </w:pPr>
      <w:r w:rsidRPr="00821050">
        <w:rPr>
          <w:rFonts w:ascii="Times New Roman" w:eastAsia="Times New Roman" w:hAnsi="Times New Roman" w:cs="Times New Roman"/>
          <w:sz w:val="20"/>
          <w:szCs w:val="20"/>
          <w:lang w:eastAsia="en-US"/>
        </w:rPr>
        <w:t xml:space="preserve">The </w:t>
      </w:r>
      <w:r w:rsidR="00AE70C4" w:rsidRPr="00821050">
        <w:rPr>
          <w:rFonts w:ascii="Times New Roman" w:eastAsia="Times New Roman" w:hAnsi="Times New Roman" w:cs="Times New Roman"/>
          <w:sz w:val="20"/>
          <w:szCs w:val="20"/>
          <w:lang w:eastAsia="en-US"/>
        </w:rPr>
        <w:t>hop count</w:t>
      </w:r>
      <w:r w:rsidR="009B57EB" w:rsidRPr="00821050">
        <w:rPr>
          <w:rFonts w:ascii="Times New Roman" w:eastAsia="Times New Roman" w:hAnsi="Times New Roman" w:cs="Times New Roman"/>
          <w:sz w:val="20"/>
          <w:szCs w:val="20"/>
          <w:lang w:eastAsia="en-US"/>
        </w:rPr>
        <w:t xml:space="preserve"> to the IAB-Donor</w:t>
      </w:r>
    </w:p>
    <w:p w14:paraId="7A6B9B58" w14:textId="77777777" w:rsidR="00AE70C4" w:rsidRPr="00821050" w:rsidRDefault="00821050" w:rsidP="005B7562">
      <w:pPr>
        <w:pStyle w:val="ListParagraph"/>
        <w:numPr>
          <w:ilvl w:val="0"/>
          <w:numId w:val="7"/>
        </w:numPr>
        <w:spacing w:after="120"/>
        <w:ind w:left="714" w:hanging="357"/>
        <w:rPr>
          <w:rFonts w:ascii="Times New Roman" w:eastAsia="Times New Roman" w:hAnsi="Times New Roman" w:cs="Times New Roman"/>
          <w:sz w:val="20"/>
          <w:szCs w:val="20"/>
          <w:lang w:eastAsia="en-US"/>
        </w:rPr>
      </w:pPr>
      <w:r w:rsidRPr="00821050">
        <w:rPr>
          <w:rFonts w:ascii="Times New Roman" w:eastAsia="Times New Roman" w:hAnsi="Times New Roman" w:cs="Times New Roman"/>
          <w:sz w:val="20"/>
          <w:szCs w:val="20"/>
          <w:lang w:eastAsia="en-US"/>
        </w:rPr>
        <w:t>Information about the load on the BH link(s)</w:t>
      </w:r>
    </w:p>
    <w:p w14:paraId="0D336938" w14:textId="77777777" w:rsidR="00821050" w:rsidRDefault="00821050" w:rsidP="005B7562">
      <w:pPr>
        <w:spacing w:after="60"/>
      </w:pPr>
      <w:r>
        <w:t>Following difference can be seen depending on the existence of the assistance information:</w:t>
      </w:r>
    </w:p>
    <w:p w14:paraId="085852B4" w14:textId="77777777" w:rsidR="00AE70C4" w:rsidRDefault="00AE70C4" w:rsidP="000F31BF">
      <w:pPr>
        <w:pStyle w:val="ListParagraph"/>
        <w:numPr>
          <w:ilvl w:val="0"/>
          <w:numId w:val="7"/>
        </w:numPr>
        <w:rPr>
          <w:rFonts w:ascii="Times New Roman" w:eastAsia="Times New Roman" w:hAnsi="Times New Roman" w:cs="Times New Roman"/>
          <w:sz w:val="20"/>
          <w:szCs w:val="20"/>
          <w:lang w:eastAsia="en-US"/>
        </w:rPr>
      </w:pPr>
      <w:r w:rsidRPr="00487004">
        <w:rPr>
          <w:rFonts w:ascii="Times New Roman" w:eastAsia="Times New Roman" w:hAnsi="Times New Roman" w:cs="Times New Roman"/>
          <w:sz w:val="20"/>
          <w:szCs w:val="20"/>
          <w:lang w:eastAsia="en-US"/>
        </w:rPr>
        <w:t>With assistance information, the initial cell selection can lead to optimal BH connection without need for BH link change prior to IAB activation</w:t>
      </w:r>
    </w:p>
    <w:p w14:paraId="3F697033" w14:textId="77777777" w:rsidR="00821050" w:rsidRDefault="00AE70C4" w:rsidP="00821050">
      <w:pPr>
        <w:pStyle w:val="ListParagraph"/>
        <w:numPr>
          <w:ilvl w:val="0"/>
          <w:numId w:val="7"/>
        </w:numPr>
        <w:rPr>
          <w:rFonts w:ascii="Times New Roman" w:eastAsia="Times New Roman" w:hAnsi="Times New Roman" w:cs="Times New Roman"/>
          <w:sz w:val="20"/>
          <w:szCs w:val="20"/>
          <w:lang w:eastAsia="en-US"/>
        </w:rPr>
      </w:pPr>
      <w:r w:rsidRPr="007A1810">
        <w:rPr>
          <w:rFonts w:ascii="Times New Roman" w:eastAsia="Times New Roman" w:hAnsi="Times New Roman" w:cs="Times New Roman"/>
          <w:sz w:val="20"/>
          <w:szCs w:val="20"/>
          <w:lang w:eastAsia="en-US"/>
        </w:rPr>
        <w:t xml:space="preserve">Without assistance information, </w:t>
      </w:r>
      <w:r w:rsidR="009B57EB">
        <w:rPr>
          <w:rFonts w:ascii="Times New Roman" w:eastAsia="Times New Roman" w:hAnsi="Times New Roman" w:cs="Times New Roman"/>
          <w:sz w:val="20"/>
          <w:szCs w:val="20"/>
          <w:lang w:eastAsia="en-US"/>
        </w:rPr>
        <w:t xml:space="preserve">possibly </w:t>
      </w:r>
      <w:r w:rsidR="007A1810">
        <w:rPr>
          <w:rFonts w:ascii="Times New Roman" w:eastAsia="Times New Roman" w:hAnsi="Times New Roman" w:cs="Times New Roman"/>
          <w:sz w:val="20"/>
          <w:szCs w:val="20"/>
          <w:lang w:eastAsia="en-US"/>
        </w:rPr>
        <w:t xml:space="preserve">with the assistance of </w:t>
      </w:r>
      <w:r w:rsidRPr="007A1810">
        <w:rPr>
          <w:rFonts w:ascii="Times New Roman" w:eastAsia="Times New Roman" w:hAnsi="Times New Roman" w:cs="Times New Roman"/>
          <w:sz w:val="20"/>
          <w:szCs w:val="20"/>
          <w:lang w:eastAsia="en-US"/>
        </w:rPr>
        <w:t>the topology manager</w:t>
      </w:r>
      <w:r w:rsidR="00E5073D">
        <w:rPr>
          <w:rFonts w:ascii="Times New Roman" w:eastAsia="Times New Roman" w:hAnsi="Times New Roman" w:cs="Times New Roman"/>
          <w:sz w:val="20"/>
          <w:szCs w:val="20"/>
          <w:lang w:eastAsia="en-US"/>
        </w:rPr>
        <w:t>,</w:t>
      </w:r>
      <w:r w:rsidR="00821050">
        <w:rPr>
          <w:rFonts w:ascii="Times New Roman" w:eastAsia="Times New Roman" w:hAnsi="Times New Roman" w:cs="Times New Roman"/>
          <w:sz w:val="20"/>
          <w:szCs w:val="20"/>
          <w:lang w:eastAsia="en-US"/>
        </w:rPr>
        <w:t xml:space="preserve"> </w:t>
      </w:r>
      <w:r w:rsidR="007A1810" w:rsidRPr="00821050">
        <w:rPr>
          <w:rFonts w:ascii="Times New Roman" w:eastAsia="Times New Roman" w:hAnsi="Times New Roman" w:cs="Times New Roman"/>
          <w:sz w:val="20"/>
          <w:szCs w:val="20"/>
          <w:lang w:eastAsia="en-US"/>
        </w:rPr>
        <w:t>RAN</w:t>
      </w:r>
      <w:r w:rsidRPr="00821050">
        <w:rPr>
          <w:rFonts w:ascii="Times New Roman" w:eastAsia="Times New Roman" w:hAnsi="Times New Roman" w:cs="Times New Roman"/>
          <w:sz w:val="20"/>
          <w:szCs w:val="20"/>
          <w:lang w:eastAsia="en-US"/>
        </w:rPr>
        <w:t xml:space="preserve"> may trigger </w:t>
      </w:r>
      <w:r w:rsidR="007A1810" w:rsidRPr="00821050">
        <w:rPr>
          <w:rFonts w:ascii="Times New Roman" w:eastAsia="Times New Roman" w:hAnsi="Times New Roman" w:cs="Times New Roman"/>
          <w:sz w:val="20"/>
          <w:szCs w:val="20"/>
          <w:lang w:eastAsia="en-US"/>
        </w:rPr>
        <w:t xml:space="preserve">a </w:t>
      </w:r>
      <w:r w:rsidR="00821050">
        <w:rPr>
          <w:rFonts w:ascii="Times New Roman" w:eastAsia="Times New Roman" w:hAnsi="Times New Roman" w:cs="Times New Roman"/>
          <w:sz w:val="20"/>
          <w:szCs w:val="20"/>
          <w:lang w:eastAsia="en-US"/>
        </w:rPr>
        <w:t>HO to a cell</w:t>
      </w:r>
    </w:p>
    <w:p w14:paraId="4B021FD4" w14:textId="77777777" w:rsidR="00821050" w:rsidRDefault="007A1810" w:rsidP="00821050">
      <w:pPr>
        <w:pStyle w:val="ListParagraph"/>
        <w:numPr>
          <w:ilvl w:val="1"/>
          <w:numId w:val="7"/>
        </w:numPr>
        <w:rPr>
          <w:rFonts w:ascii="Times New Roman" w:eastAsia="Times New Roman" w:hAnsi="Times New Roman" w:cs="Times New Roman"/>
          <w:sz w:val="20"/>
          <w:szCs w:val="20"/>
          <w:lang w:eastAsia="en-US"/>
        </w:rPr>
      </w:pPr>
      <w:r w:rsidRPr="00821050">
        <w:rPr>
          <w:rFonts w:ascii="Times New Roman" w:eastAsia="Times New Roman" w:hAnsi="Times New Roman" w:cs="Times New Roman"/>
          <w:sz w:val="20"/>
          <w:szCs w:val="20"/>
          <w:lang w:eastAsia="en-US"/>
        </w:rPr>
        <w:t>supporting IAB</w:t>
      </w:r>
      <w:r w:rsidR="00821050">
        <w:rPr>
          <w:rFonts w:ascii="Times New Roman" w:eastAsia="Times New Roman" w:hAnsi="Times New Roman" w:cs="Times New Roman"/>
          <w:sz w:val="20"/>
          <w:szCs w:val="20"/>
          <w:lang w:eastAsia="en-US"/>
        </w:rPr>
        <w:t xml:space="preserve"> in case the selected one is not capable for IAB</w:t>
      </w:r>
    </w:p>
    <w:p w14:paraId="2B8BF6E9" w14:textId="49F96C90" w:rsidR="00E5073D" w:rsidRDefault="007A1810" w:rsidP="00E5073D">
      <w:pPr>
        <w:pStyle w:val="ListParagraph"/>
        <w:numPr>
          <w:ilvl w:val="1"/>
          <w:numId w:val="7"/>
        </w:numPr>
        <w:rPr>
          <w:rFonts w:ascii="Times New Roman" w:eastAsia="Times New Roman" w:hAnsi="Times New Roman" w:cs="Times New Roman"/>
          <w:sz w:val="20"/>
          <w:szCs w:val="20"/>
          <w:lang w:eastAsia="en-US"/>
        </w:rPr>
      </w:pPr>
      <w:r w:rsidRPr="00821050">
        <w:rPr>
          <w:rFonts w:ascii="Times New Roman" w:eastAsia="Times New Roman" w:hAnsi="Times New Roman" w:cs="Times New Roman"/>
          <w:sz w:val="20"/>
          <w:szCs w:val="20"/>
          <w:lang w:eastAsia="en-US"/>
        </w:rPr>
        <w:t xml:space="preserve">which could be </w:t>
      </w:r>
      <w:r w:rsidR="00AE70C4" w:rsidRPr="00821050">
        <w:rPr>
          <w:rFonts w:ascii="Times New Roman" w:eastAsia="Times New Roman" w:hAnsi="Times New Roman" w:cs="Times New Roman"/>
          <w:sz w:val="20"/>
          <w:szCs w:val="20"/>
          <w:lang w:eastAsia="en-US"/>
        </w:rPr>
        <w:t>more suitable for BH connection</w:t>
      </w:r>
      <w:r w:rsidR="009B57EB" w:rsidRPr="00821050">
        <w:rPr>
          <w:rFonts w:ascii="Times New Roman" w:eastAsia="Times New Roman" w:hAnsi="Times New Roman" w:cs="Times New Roman"/>
          <w:sz w:val="20"/>
          <w:szCs w:val="20"/>
          <w:lang w:eastAsia="en-US"/>
        </w:rPr>
        <w:t xml:space="preserve"> considering the existing IAB topology</w:t>
      </w:r>
      <w:r w:rsidR="00821050" w:rsidRPr="00821050">
        <w:rPr>
          <w:rFonts w:ascii="Times New Roman" w:eastAsia="Times New Roman" w:hAnsi="Times New Roman" w:cs="Times New Roman"/>
          <w:sz w:val="20"/>
          <w:szCs w:val="20"/>
          <w:lang w:eastAsia="en-US"/>
        </w:rPr>
        <w:t xml:space="preserve"> – provided that </w:t>
      </w:r>
      <w:r w:rsidR="001925DB">
        <w:rPr>
          <w:rFonts w:ascii="Times New Roman" w:eastAsia="Times New Roman" w:hAnsi="Times New Roman" w:cs="Times New Roman"/>
          <w:sz w:val="20"/>
          <w:szCs w:val="20"/>
          <w:lang w:eastAsia="en-US"/>
        </w:rPr>
        <w:t>another or better IAB supporting</w:t>
      </w:r>
      <w:r w:rsidR="00821050" w:rsidRPr="00821050">
        <w:rPr>
          <w:rFonts w:ascii="Times New Roman" w:eastAsia="Times New Roman" w:hAnsi="Times New Roman" w:cs="Times New Roman"/>
          <w:sz w:val="20"/>
          <w:szCs w:val="20"/>
          <w:lang w:eastAsia="en-US"/>
        </w:rPr>
        <w:t xml:space="preserve"> node is within the reach of the deployed IAB node</w:t>
      </w:r>
      <w:r w:rsidR="00AE70C4" w:rsidRPr="00821050">
        <w:rPr>
          <w:rFonts w:ascii="Times New Roman" w:eastAsia="Times New Roman" w:hAnsi="Times New Roman" w:cs="Times New Roman"/>
          <w:sz w:val="20"/>
          <w:szCs w:val="20"/>
          <w:lang w:eastAsia="en-US"/>
        </w:rPr>
        <w:t xml:space="preserve">. This can be done </w:t>
      </w:r>
      <w:r w:rsidR="009B57EB" w:rsidRPr="00821050">
        <w:rPr>
          <w:rFonts w:ascii="Times New Roman" w:eastAsia="Times New Roman" w:hAnsi="Times New Roman" w:cs="Times New Roman"/>
          <w:sz w:val="20"/>
          <w:szCs w:val="20"/>
          <w:lang w:eastAsia="en-US"/>
        </w:rPr>
        <w:t xml:space="preserve">e.g. </w:t>
      </w:r>
      <w:r w:rsidR="00AE70C4" w:rsidRPr="00821050">
        <w:rPr>
          <w:rFonts w:ascii="Times New Roman" w:eastAsia="Times New Roman" w:hAnsi="Times New Roman" w:cs="Times New Roman"/>
          <w:sz w:val="20"/>
          <w:szCs w:val="20"/>
          <w:lang w:eastAsia="en-US"/>
        </w:rPr>
        <w:t>during the connection setup procedure, e.g. while having PDU session established to OAM for IAB configuration</w:t>
      </w:r>
      <w:r w:rsidR="00821050" w:rsidRPr="00821050">
        <w:rPr>
          <w:rFonts w:ascii="Times New Roman" w:eastAsia="Times New Roman" w:hAnsi="Times New Roman" w:cs="Times New Roman"/>
          <w:sz w:val="20"/>
          <w:szCs w:val="20"/>
          <w:lang w:eastAsia="en-US"/>
        </w:rPr>
        <w:t>.</w:t>
      </w:r>
    </w:p>
    <w:p w14:paraId="338C1BE4" w14:textId="77777777" w:rsidR="00E5073D" w:rsidRPr="00E5073D" w:rsidRDefault="00E5073D" w:rsidP="00B57104">
      <w:pPr>
        <w:ind w:left="1080"/>
      </w:pPr>
    </w:p>
    <w:p w14:paraId="2116CC1A" w14:textId="77777777" w:rsidR="009B57EB" w:rsidRPr="00B57104" w:rsidRDefault="00E5073D" w:rsidP="009B57EB">
      <w:pPr>
        <w:rPr>
          <w:b/>
        </w:rPr>
      </w:pPr>
      <w:r w:rsidRPr="00B57104">
        <w:rPr>
          <w:b/>
        </w:rPr>
        <w:t>Observation 1: Initial access of an IAB node can be performed with or without broadcast assistance information related to IAB operation.</w:t>
      </w:r>
    </w:p>
    <w:p w14:paraId="02A0C5DC" w14:textId="00C6B159" w:rsidR="00E5073D" w:rsidRPr="00B57104" w:rsidRDefault="00E5073D" w:rsidP="009B57EB">
      <w:pPr>
        <w:rPr>
          <w:b/>
        </w:rPr>
      </w:pPr>
      <w:r w:rsidRPr="00B57104">
        <w:rPr>
          <w:b/>
        </w:rPr>
        <w:t xml:space="preserve">Observation 2: The connection setup procedure may include </w:t>
      </w:r>
      <w:r w:rsidR="0084438D">
        <w:rPr>
          <w:b/>
        </w:rPr>
        <w:t xml:space="preserve">HO </w:t>
      </w:r>
      <w:r w:rsidRPr="00B57104">
        <w:rPr>
          <w:b/>
        </w:rPr>
        <w:t xml:space="preserve">if a connection </w:t>
      </w:r>
      <w:r w:rsidR="009205E2" w:rsidRPr="00B57104">
        <w:rPr>
          <w:b/>
        </w:rPr>
        <w:t xml:space="preserve">feasible or </w:t>
      </w:r>
      <w:r w:rsidRPr="00B57104">
        <w:rPr>
          <w:b/>
        </w:rPr>
        <w:t xml:space="preserve">better suited </w:t>
      </w:r>
      <w:r w:rsidR="009205E2" w:rsidRPr="00B57104">
        <w:rPr>
          <w:b/>
        </w:rPr>
        <w:t>for IAB backhauling is available.</w:t>
      </w:r>
    </w:p>
    <w:p w14:paraId="6CD3362D" w14:textId="77777777" w:rsidR="007A1810" w:rsidRPr="00AE70C4" w:rsidRDefault="007A1810" w:rsidP="007A1810"/>
    <w:p w14:paraId="7DD25176" w14:textId="77777777" w:rsidR="00CD4C7B" w:rsidRDefault="00AE70C4" w:rsidP="00CD4C7B">
      <w:pPr>
        <w:pStyle w:val="Heading1"/>
      </w:pPr>
      <w:r>
        <w:t>3</w:t>
      </w:r>
      <w:r w:rsidR="00CD4C7B" w:rsidRPr="006E13D1">
        <w:tab/>
      </w:r>
      <w:r>
        <w:t>Node discovery and monitoring</w:t>
      </w:r>
    </w:p>
    <w:p w14:paraId="088C090B" w14:textId="77777777" w:rsidR="008F2CD7" w:rsidRDefault="00AE70C4" w:rsidP="008F2CD7">
      <w:r>
        <w:t>In this section we discuss the two basic approaches for node discovery while the IAB node operation is active.</w:t>
      </w:r>
      <w:r w:rsidR="008F2CD7">
        <w:t xml:space="preserve"> Access </w:t>
      </w:r>
      <w:r w:rsidR="008F2CD7" w:rsidRPr="003B4B8E">
        <w:t xml:space="preserve">UEs are assuming regular transmissions of SSBs and CSI-RSs for mobility measurements. Such regular transmissions must be of </w:t>
      </w:r>
      <w:r w:rsidR="008F2CD7">
        <w:t xml:space="preserve">the </w:t>
      </w:r>
      <w:r w:rsidR="008F2CD7" w:rsidRPr="003B4B8E">
        <w:t>highest priority also with IAB</w:t>
      </w:r>
      <w:r w:rsidR="008F2CD7">
        <w:t>.</w:t>
      </w:r>
      <w:r w:rsidR="008F2CD7" w:rsidRPr="003B4B8E">
        <w:t xml:space="preserve"> </w:t>
      </w:r>
      <w:r w:rsidR="008F2CD7">
        <w:t>IAB deployment has the restriction from the half-duplex operation limiting the time instants available for broadcast transmission. Despite this constraint, IAB nodes</w:t>
      </w:r>
      <w:r w:rsidR="008F2CD7" w:rsidRPr="003B4B8E">
        <w:t xml:space="preserve"> should </w:t>
      </w:r>
      <w:r w:rsidR="008F2CD7">
        <w:t xml:space="preserve">be configured with the </w:t>
      </w:r>
      <w:r w:rsidR="008F2CD7" w:rsidRPr="003B4B8E">
        <w:t xml:space="preserve">SSB and CSI-RS TX irrespective of the slot </w:t>
      </w:r>
      <w:r w:rsidR="008F2CD7">
        <w:t xml:space="preserve">allocation </w:t>
      </w:r>
      <w:r w:rsidR="008F2CD7" w:rsidRPr="003B4B8E">
        <w:t xml:space="preserve">for certain </w:t>
      </w:r>
      <w:r w:rsidR="008F2CD7">
        <w:t xml:space="preserve">link (up/downstream BH link, access link) or </w:t>
      </w:r>
      <w:r w:rsidR="008F2CD7" w:rsidRPr="003B4B8E">
        <w:t xml:space="preserve">transmission direction. It is up to network implementation </w:t>
      </w:r>
      <w:r w:rsidR="008F2CD7">
        <w:t xml:space="preserve">that the </w:t>
      </w:r>
      <w:r w:rsidR="008F2CD7" w:rsidRPr="003B4B8E">
        <w:t xml:space="preserve">SSB and CSI-RS transmissions are configured so that they would always take place </w:t>
      </w:r>
      <w:r w:rsidR="008F2CD7">
        <w:t xml:space="preserve">slots allocated for </w:t>
      </w:r>
      <w:r w:rsidR="008F2CD7" w:rsidRPr="003B4B8E">
        <w:t>DL TX</w:t>
      </w:r>
      <w:r w:rsidR="008F2CD7">
        <w:t>.</w:t>
      </w:r>
    </w:p>
    <w:p w14:paraId="7F439122" w14:textId="77777777" w:rsidR="00AE70C4" w:rsidRPr="00AE70C4" w:rsidRDefault="00AE70C4" w:rsidP="00AE70C4"/>
    <w:p w14:paraId="5E23B0A6" w14:textId="77777777" w:rsidR="00CD4C7B" w:rsidRPr="006E13D1" w:rsidRDefault="00AE70C4" w:rsidP="00CD4C7B">
      <w:pPr>
        <w:pStyle w:val="Heading2"/>
      </w:pPr>
      <w:r>
        <w:t>3</w:t>
      </w:r>
      <w:r w:rsidR="00CD4C7B" w:rsidRPr="006E13D1">
        <w:t>.1</w:t>
      </w:r>
      <w:r w:rsidR="00CD4C7B" w:rsidRPr="006E13D1">
        <w:tab/>
      </w:r>
      <w:r w:rsidR="007D57A0">
        <w:t>SSB based detection</w:t>
      </w:r>
      <w:r>
        <w:t xml:space="preserve"> (Solution 1)</w:t>
      </w:r>
    </w:p>
    <w:p w14:paraId="1A3CAE58" w14:textId="77777777" w:rsidR="00CD4C7B" w:rsidRPr="003B4B8E" w:rsidRDefault="00C51B25" w:rsidP="00CD4C7B">
      <w:r>
        <w:t xml:space="preserve">Figure 1 shows examples for </w:t>
      </w:r>
      <w:r w:rsidR="003B4B8E" w:rsidRPr="003B4B8E">
        <w:t>SSB configuration</w:t>
      </w:r>
      <w:r>
        <w:t>s</w:t>
      </w:r>
      <w:r w:rsidR="003B4B8E" w:rsidRPr="003B4B8E">
        <w:t xml:space="preserve"> for slot </w:t>
      </w:r>
      <w:r>
        <w:t xml:space="preserve">a </w:t>
      </w:r>
      <w:r w:rsidR="003B4B8E" w:rsidRPr="003B4B8E">
        <w:t xml:space="preserve">wise TDM between access and BH. In this </w:t>
      </w:r>
      <w:r>
        <w:t xml:space="preserve">simplified </w:t>
      </w:r>
      <w:r w:rsidR="003B4B8E" w:rsidRPr="003B4B8E">
        <w:t xml:space="preserve">case, assuming equal UL/DL division, </w:t>
      </w:r>
      <w:r>
        <w:t xml:space="preserve">the possibility for DL TX is feasible </w:t>
      </w:r>
      <w:r w:rsidR="003B4B8E" w:rsidRPr="003B4B8E">
        <w:t xml:space="preserve">only </w:t>
      </w:r>
      <w:r>
        <w:t xml:space="preserve">on </w:t>
      </w:r>
      <w:r w:rsidR="003B4B8E" w:rsidRPr="003B4B8E">
        <w:t>every 4th slot</w:t>
      </w:r>
      <w:r>
        <w:t>.</w:t>
      </w:r>
      <w:r w:rsidR="003B4B8E" w:rsidRPr="003B4B8E">
        <w:t xml:space="preserve"> </w:t>
      </w:r>
      <w:r>
        <w:t>T</w:t>
      </w:r>
      <w:r w:rsidR="003B4B8E" w:rsidRPr="003B4B8E">
        <w:t xml:space="preserve">he </w:t>
      </w:r>
      <w:r>
        <w:t xml:space="preserve">example illustrates </w:t>
      </w:r>
      <w:r w:rsidR="000C52EE">
        <w:t xml:space="preserve">SSB transmission using </w:t>
      </w:r>
      <w:r w:rsidR="003B4B8E" w:rsidRPr="003B4B8E">
        <w:t>only these slots</w:t>
      </w:r>
      <w:r w:rsidR="000C52EE">
        <w:t xml:space="preserve"> available according the configured RX/TX pattern</w:t>
      </w:r>
      <w:r w:rsidR="003B4B8E" w:rsidRPr="003B4B8E">
        <w:t xml:space="preserve">. The </w:t>
      </w:r>
      <w:r w:rsidR="000C52EE">
        <w:t>example below shows the alternative where</w:t>
      </w:r>
      <w:r w:rsidR="003B4B8E" w:rsidRPr="003B4B8E">
        <w:t xml:space="preserve"> </w:t>
      </w:r>
      <w:r w:rsidR="000C52EE">
        <w:t xml:space="preserve">the </w:t>
      </w:r>
      <w:r w:rsidR="003B4B8E" w:rsidRPr="003B4B8E">
        <w:t>SMTC duration</w:t>
      </w:r>
      <w:r w:rsidR="000C52EE">
        <w:t xml:space="preserve"> is minimized and the IAB regular RX/TX pattern is broken to provide additional slots for SSB transmission.</w:t>
      </w:r>
      <w:r w:rsidR="003B4B8E" w:rsidRPr="003B4B8E">
        <w:t xml:space="preserve"> </w:t>
      </w:r>
      <w:r w:rsidR="000C52EE">
        <w:t xml:space="preserve">In this case SSBs </w:t>
      </w:r>
      <w:r w:rsidR="003B4B8E" w:rsidRPr="003B4B8E">
        <w:t>are packed to a smaller number of slots</w:t>
      </w:r>
      <w:r w:rsidR="000C52EE">
        <w:t xml:space="preserve"> minimizing the length </w:t>
      </w:r>
      <w:r w:rsidR="000C52EE">
        <w:lastRenderedPageBreak/>
        <w:t>of the SMTC window and thus eliminating excessive power consumption in the access UEs.</w:t>
      </w:r>
      <w:r w:rsidR="003B4B8E" w:rsidRPr="003B4B8E">
        <w:t xml:space="preserve"> The figure is drawn f</w:t>
      </w:r>
      <w:r w:rsidR="00861234">
        <w:t>or SSB set length of eight SSBs and considering only the SSBs used on the access link</w:t>
      </w:r>
    </w:p>
    <w:p w14:paraId="24F917DF" w14:textId="77777777" w:rsidR="00CD4C7B" w:rsidRDefault="008F2CD7" w:rsidP="008F2CD7">
      <w:pPr>
        <w:pStyle w:val="B1"/>
        <w:ind w:left="0" w:firstLine="0"/>
        <w:rPr>
          <w:lang w:val="pl-PL"/>
        </w:rPr>
      </w:pPr>
      <w:r>
        <w:rPr>
          <w:noProof/>
        </w:rPr>
        <w:drawing>
          <wp:inline distT="0" distB="0" distL="0" distR="0" wp14:anchorId="1FDB1DAA" wp14:editId="340DD4F5">
            <wp:extent cx="6120765" cy="1702435"/>
            <wp:effectExtent l="0" t="0" r="0" b="0"/>
            <wp:docPr id="2335" name="Picture 2335"/>
            <wp:cNvGraphicFramePr/>
            <a:graphic xmlns:a="http://schemas.openxmlformats.org/drawingml/2006/main">
              <a:graphicData uri="http://schemas.openxmlformats.org/drawingml/2006/picture">
                <pic:pic xmlns:pic="http://schemas.openxmlformats.org/drawingml/2006/picture">
                  <pic:nvPicPr>
                    <pic:cNvPr id="2335" name="Picture 2335"/>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1702435"/>
                    </a:xfrm>
                    <a:prstGeom prst="rect">
                      <a:avLst/>
                    </a:prstGeom>
                    <a:noFill/>
                    <a:ln>
                      <a:noFill/>
                    </a:ln>
                  </pic:spPr>
                </pic:pic>
              </a:graphicData>
            </a:graphic>
          </wp:inline>
        </w:drawing>
      </w:r>
    </w:p>
    <w:p w14:paraId="03159ECE" w14:textId="77777777" w:rsidR="008F2CD7" w:rsidRDefault="004A3145" w:rsidP="004A3145">
      <w:pPr>
        <w:pStyle w:val="Caption"/>
        <w:jc w:val="center"/>
      </w:pPr>
      <w:r>
        <w:t xml:space="preserve">Figure </w:t>
      </w:r>
      <w:fldSimple w:instr=" SEQ Figure \* ARABIC ">
        <w:r w:rsidR="001A7509">
          <w:rPr>
            <w:noProof/>
          </w:rPr>
          <w:t>1</w:t>
        </w:r>
      </w:fldSimple>
      <w:r>
        <w:t xml:space="preserve"> Examples of SSB TX with half-duplex limitation</w:t>
      </w:r>
    </w:p>
    <w:p w14:paraId="6F7A01AD" w14:textId="618E5F6C" w:rsidR="004A3145" w:rsidRPr="00861234" w:rsidRDefault="00861234" w:rsidP="004A3145">
      <w:pPr>
        <w:rPr>
          <w:b/>
        </w:rPr>
      </w:pPr>
      <w:r w:rsidRPr="00861234">
        <w:rPr>
          <w:b/>
        </w:rPr>
        <w:t xml:space="preserve">Observation </w:t>
      </w:r>
      <w:r w:rsidR="009205E2">
        <w:rPr>
          <w:b/>
        </w:rPr>
        <w:t>3</w:t>
      </w:r>
      <w:r w:rsidRPr="00861234">
        <w:rPr>
          <w:b/>
        </w:rPr>
        <w:t>: To eliminate the need to extend the SMTC window, the SSB TX may have to override the pattern for slot allocation for different links and UL/DL directions.</w:t>
      </w:r>
    </w:p>
    <w:p w14:paraId="369F3692" w14:textId="77777777" w:rsidR="00861234" w:rsidRDefault="00861234" w:rsidP="00C30F3C">
      <w:pPr>
        <w:spacing w:after="120"/>
      </w:pPr>
      <w:r>
        <w:t>For the inter-IAB-node detection the options that were considered are:</w:t>
      </w:r>
    </w:p>
    <w:p w14:paraId="14FD5F06" w14:textId="77777777" w:rsidR="00861234" w:rsidRPr="00C30F3C" w:rsidRDefault="00861234" w:rsidP="00C30F3C">
      <w:pPr>
        <w:pStyle w:val="ListParagraph"/>
        <w:numPr>
          <w:ilvl w:val="0"/>
          <w:numId w:val="9"/>
        </w:numPr>
        <w:rPr>
          <w:rFonts w:ascii="Times New Roman" w:eastAsia="Times New Roman" w:hAnsi="Times New Roman" w:cs="Times New Roman"/>
          <w:sz w:val="20"/>
          <w:szCs w:val="20"/>
          <w:lang w:eastAsia="en-US"/>
        </w:rPr>
      </w:pPr>
      <w:r w:rsidRPr="00C30F3C">
        <w:rPr>
          <w:rFonts w:ascii="Times New Roman" w:eastAsia="Times New Roman" w:hAnsi="Times New Roman" w:cs="Times New Roman"/>
          <w:sz w:val="20"/>
          <w:szCs w:val="20"/>
          <w:lang w:eastAsia="en-US"/>
        </w:rPr>
        <w:t>Using only SSBs of the access link (Solution 1-A)</w:t>
      </w:r>
    </w:p>
    <w:p w14:paraId="573336CE" w14:textId="77777777" w:rsidR="00C30F3C" w:rsidRPr="00C30F3C" w:rsidRDefault="00861234" w:rsidP="00C30F3C">
      <w:pPr>
        <w:pStyle w:val="ListParagraph"/>
        <w:numPr>
          <w:ilvl w:val="0"/>
          <w:numId w:val="9"/>
        </w:numPr>
        <w:spacing w:after="120"/>
        <w:ind w:left="714" w:hanging="357"/>
        <w:rPr>
          <w:rFonts w:ascii="Times New Roman" w:eastAsia="Times New Roman" w:hAnsi="Times New Roman" w:cs="Times New Roman"/>
          <w:sz w:val="20"/>
          <w:szCs w:val="20"/>
          <w:lang w:eastAsia="en-US"/>
        </w:rPr>
      </w:pPr>
      <w:r w:rsidRPr="00C30F3C">
        <w:rPr>
          <w:rFonts w:ascii="Times New Roman" w:eastAsia="Times New Roman" w:hAnsi="Times New Roman" w:cs="Times New Roman"/>
          <w:sz w:val="20"/>
          <w:szCs w:val="20"/>
          <w:lang w:eastAsia="en-US"/>
        </w:rPr>
        <w:t>Configuring IAB specific SSBs orthogonal (by TDM/SDM/FDM) to those for access UEs</w:t>
      </w:r>
      <w:r w:rsidR="00C30F3C" w:rsidRPr="00C30F3C">
        <w:rPr>
          <w:rFonts w:ascii="Times New Roman" w:eastAsia="Times New Roman" w:hAnsi="Times New Roman" w:cs="Times New Roman"/>
          <w:sz w:val="20"/>
          <w:szCs w:val="20"/>
          <w:lang w:eastAsia="en-US"/>
        </w:rPr>
        <w:t xml:space="preserve"> (Solution 1-B)</w:t>
      </w:r>
    </w:p>
    <w:p w14:paraId="62CA5D91" w14:textId="77777777" w:rsidR="00504AC6" w:rsidRDefault="00C30F3C" w:rsidP="004A3145">
      <w:r>
        <w:t>With both options the IAB nodes should be have the possibility to measure and detect the neighbouring IAB node SSB signals. As described above, the half-duplex constraint will limit the occasions where inter-IAB-node measurements can be done. It should be noted that the measurement opportunities shall enable all neighbour node monitoring for all IAB nodes, i.e. each node should be configured with receive slot when some of the neighbour IAB nodes is transmitting SSB. This has to be provided for both directions between neighbour IAB node pairs.</w:t>
      </w:r>
    </w:p>
    <w:p w14:paraId="087470A0" w14:textId="77777777" w:rsidR="00504AC6" w:rsidRDefault="00504AC6" w:rsidP="004A3145"/>
    <w:p w14:paraId="761161A5" w14:textId="77777777" w:rsidR="00504AC6" w:rsidRDefault="00504AC6" w:rsidP="00504AC6">
      <w:pPr>
        <w:pStyle w:val="Heading2"/>
      </w:pPr>
      <w:r>
        <w:t>3.2</w:t>
      </w:r>
      <w:r w:rsidRPr="006E13D1">
        <w:tab/>
      </w:r>
      <w:r w:rsidR="0020065A">
        <w:t xml:space="preserve">Reusing </w:t>
      </w:r>
      <w:r w:rsidR="00427957">
        <w:t xml:space="preserve">SSBs sent for </w:t>
      </w:r>
      <w:r w:rsidR="0020065A">
        <w:t>access UEs (</w:t>
      </w:r>
      <w:r>
        <w:t>Solution 1-A</w:t>
      </w:r>
      <w:r w:rsidR="0020065A">
        <w:t>)</w:t>
      </w:r>
    </w:p>
    <w:p w14:paraId="13DBE7A3" w14:textId="2DEFA600" w:rsidR="005B7562" w:rsidRDefault="005B7562" w:rsidP="004A3145">
      <w:r>
        <w:t xml:space="preserve">Considering </w:t>
      </w:r>
      <w:r w:rsidR="00D6226E">
        <w:t xml:space="preserve">the </w:t>
      </w:r>
      <w:r>
        <w:t>requirement</w:t>
      </w:r>
      <w:r w:rsidR="00D6226E">
        <w:t>s described above</w:t>
      </w:r>
      <w:r>
        <w:t xml:space="preserve">, it is evident that the IAB deployment will affect the SSB configuration </w:t>
      </w:r>
      <w:r w:rsidR="00254250">
        <w:t xml:space="preserve">for the access link </w:t>
      </w:r>
      <w:r>
        <w:t xml:space="preserve">with Sol. 1-A. </w:t>
      </w:r>
      <w:r w:rsidR="00254250">
        <w:t>IAB detection and monitoring will require occasional muting of SSB TX in order to enable reception of the neighbour node SSB.</w:t>
      </w:r>
      <w:r w:rsidR="00686E1D">
        <w:t xml:space="preserve"> Thus, there will be some impact on the access UEs. The quantitative effect on the UEs depend on the defined requirements for the IAB monitoring, e.</w:t>
      </w:r>
      <w:r w:rsidR="00A771C6">
        <w:t>g.</w:t>
      </w:r>
      <w:r w:rsidR="00686E1D">
        <w:t xml:space="preserve"> what shall be the periodicity of the measurements.</w:t>
      </w:r>
    </w:p>
    <w:p w14:paraId="765212E1" w14:textId="5DC0254A" w:rsidR="00254250" w:rsidRPr="00686E1D" w:rsidRDefault="00254250" w:rsidP="004A3145">
      <w:pPr>
        <w:rPr>
          <w:b/>
        </w:rPr>
      </w:pPr>
      <w:r w:rsidRPr="00686E1D">
        <w:rPr>
          <w:b/>
        </w:rPr>
        <w:t xml:space="preserve">Observation </w:t>
      </w:r>
      <w:r w:rsidR="009205E2">
        <w:rPr>
          <w:b/>
        </w:rPr>
        <w:t>4</w:t>
      </w:r>
      <w:r w:rsidRPr="00686E1D">
        <w:rPr>
          <w:b/>
        </w:rPr>
        <w:t xml:space="preserve">. Solution 1-A requires muting of SSBs </w:t>
      </w:r>
      <w:r w:rsidR="00686E1D" w:rsidRPr="00686E1D">
        <w:rPr>
          <w:b/>
        </w:rPr>
        <w:t xml:space="preserve">affecting </w:t>
      </w:r>
      <w:r w:rsidRPr="00686E1D">
        <w:rPr>
          <w:b/>
        </w:rPr>
        <w:t>the access UEs</w:t>
      </w:r>
      <w:r w:rsidR="00686E1D" w:rsidRPr="00686E1D">
        <w:rPr>
          <w:b/>
        </w:rPr>
        <w:t>. It is FFS what will be the requirements for the IAB monitoring and hence, how much the muting will affect regular SSB transmission.</w:t>
      </w:r>
    </w:p>
    <w:p w14:paraId="45AB4A8F" w14:textId="2BE9B584" w:rsidR="00C341A0" w:rsidRDefault="00C341A0" w:rsidP="004A3145">
      <w:r>
        <w:t>The periodicity of SSB muting should be somehow reasonable w.r.t the assumption of deployment of new IAB nodes. Presumably deployment of a new IAB node happens rarely compared e.g. to the length of a SSB burst set. Therefore, the definition of a muting pattern should preferably be long</w:t>
      </w:r>
      <w:r w:rsidR="009A548A">
        <w:t xml:space="preserve">, value of </w:t>
      </w:r>
      <w:r w:rsidR="00F76CA0">
        <w:t xml:space="preserve">the muting pattern length </w:t>
      </w:r>
      <w:r w:rsidR="009A548A">
        <w:t>is FFS.</w:t>
      </w:r>
    </w:p>
    <w:p w14:paraId="57581D80" w14:textId="77777777" w:rsidR="00861234" w:rsidRDefault="003F6E94" w:rsidP="004A3145">
      <w:r>
        <w:t>The advantage of Sol. 1-A is that the SMTC window may not need to be modified when IAB is deployed.</w:t>
      </w:r>
      <w:r w:rsidR="00A771C6">
        <w:t xml:space="preserve"> Also</w:t>
      </w:r>
      <w:r w:rsidR="00696430">
        <w:t>,</w:t>
      </w:r>
      <w:r w:rsidR="00A771C6">
        <w:t xml:space="preserve"> there will be only one set of SSB configurations.</w:t>
      </w:r>
    </w:p>
    <w:p w14:paraId="6A709143" w14:textId="77777777" w:rsidR="00A771C6" w:rsidRDefault="00A771C6" w:rsidP="004A3145">
      <w:pPr>
        <w:rPr>
          <w:b/>
        </w:rPr>
      </w:pPr>
      <w:r w:rsidRPr="00B57104">
        <w:rPr>
          <w:b/>
        </w:rPr>
        <w:t xml:space="preserve">Observation </w:t>
      </w:r>
      <w:r w:rsidR="009205E2">
        <w:rPr>
          <w:b/>
        </w:rPr>
        <w:t>5</w:t>
      </w:r>
      <w:r w:rsidRPr="00B57104">
        <w:rPr>
          <w:b/>
        </w:rPr>
        <w:t>. Solution 1-A has the advantage of requiring only one set of SSB and SMTC configurations.</w:t>
      </w:r>
    </w:p>
    <w:p w14:paraId="7B81A867" w14:textId="77777777" w:rsidR="00A771C6" w:rsidRPr="00A771C6" w:rsidRDefault="00A771C6" w:rsidP="004A3145">
      <w:r>
        <w:t>If the muting of SSBs is considered only a performance issue, Sol.1-A could be an option for IAB deployment. However, if muting is considered such an impact for UEs that cannot be accepted for legacy implementation, the Sol.1-A cannot be selected for IAB.</w:t>
      </w:r>
    </w:p>
    <w:p w14:paraId="38267B4B" w14:textId="77777777" w:rsidR="00A771C6" w:rsidRPr="00B57104" w:rsidRDefault="00A771C6" w:rsidP="004A3145">
      <w:pPr>
        <w:rPr>
          <w:b/>
        </w:rPr>
      </w:pPr>
      <w:r w:rsidRPr="00B57104">
        <w:rPr>
          <w:b/>
        </w:rPr>
        <w:t>Proposal 1.</w:t>
      </w:r>
      <w:r>
        <w:rPr>
          <w:b/>
        </w:rPr>
        <w:t xml:space="preserve"> Solution 1-A can be considered as feasible option only if the impact to legacy UEs is seen acceptable in terms of measurement performance.</w:t>
      </w:r>
    </w:p>
    <w:p w14:paraId="3754BA19" w14:textId="77777777" w:rsidR="00D6226E" w:rsidRDefault="00D6226E" w:rsidP="004A3145"/>
    <w:p w14:paraId="4874205B" w14:textId="77777777" w:rsidR="00D6226E" w:rsidRDefault="00D6226E" w:rsidP="00D6226E">
      <w:pPr>
        <w:pStyle w:val="Heading2"/>
      </w:pPr>
      <w:r>
        <w:lastRenderedPageBreak/>
        <w:t>3.3</w:t>
      </w:r>
      <w:r w:rsidRPr="006E13D1">
        <w:tab/>
      </w:r>
      <w:r w:rsidR="00800556">
        <w:t>IAB specific SSBs (</w:t>
      </w:r>
      <w:r>
        <w:t>Solution 1-B</w:t>
      </w:r>
      <w:r w:rsidR="00AA581B">
        <w:t>)</w:t>
      </w:r>
    </w:p>
    <w:p w14:paraId="2A0A23A5" w14:textId="3FE5487E" w:rsidR="003F6E94" w:rsidRDefault="003F6E94" w:rsidP="004A3145">
      <w:r>
        <w:t>Solution 1-B is not affecting the configuration of the access link SSB transmission. The co</w:t>
      </w:r>
      <w:r w:rsidR="008944A1">
        <w:t>nfiguration of IAB specific SSB</w:t>
      </w:r>
      <w:r w:rsidR="00427957">
        <w:t>s</w:t>
      </w:r>
      <w:r w:rsidR="008944A1">
        <w:t xml:space="preserve">, however, has the same limitations (from half-duplex constraint) and requirements (enabling monitoring occasions for IAB nodes). Furthermore, the access UEs should not select the cell for camping based on </w:t>
      </w:r>
      <w:r w:rsidR="00427957">
        <w:t xml:space="preserve">IAB specific </w:t>
      </w:r>
      <w:r w:rsidR="008944A1">
        <w:t>SSBs.</w:t>
      </w:r>
    </w:p>
    <w:p w14:paraId="62062996" w14:textId="77777777" w:rsidR="009E466E" w:rsidRPr="009E466E" w:rsidRDefault="009E466E" w:rsidP="009E466E">
      <w:pPr>
        <w:rPr>
          <w:b/>
        </w:rPr>
      </w:pPr>
      <w:r w:rsidRPr="009E466E">
        <w:rPr>
          <w:b/>
        </w:rPr>
        <w:t>Multiplexing between access UE SSBs and IAB SSBs</w:t>
      </w:r>
      <w:r w:rsidR="00B65D2C">
        <w:rPr>
          <w:b/>
        </w:rPr>
        <w:t>:</w:t>
      </w:r>
    </w:p>
    <w:p w14:paraId="2176459F" w14:textId="77777777" w:rsidR="009E466E" w:rsidRDefault="00B65D2C" w:rsidP="009E466E">
      <w:r>
        <w:t xml:space="preserve">It is desirable </w:t>
      </w:r>
      <w:r w:rsidR="009E466E">
        <w:t>to configure transmission of access UE SSB sets condensed to a small number of slots</w:t>
      </w:r>
      <w:r>
        <w:t>.</w:t>
      </w:r>
      <w:r w:rsidR="009E466E">
        <w:t xml:space="preserve"> </w:t>
      </w:r>
      <w:r>
        <w:t xml:space="preserve">However, </w:t>
      </w:r>
      <w:r w:rsidR="009E466E">
        <w:t>half-duplex constraint forces to spread IAB SSB transmissions over time and/or to use TX patterns t</w:t>
      </w:r>
      <w:r>
        <w:t>hat would look irregular to UEs. Furthermore,</w:t>
      </w:r>
      <w:r w:rsidR="009E466E">
        <w:t xml:space="preserve"> </w:t>
      </w:r>
      <w:r>
        <w:t xml:space="preserve">SSBs for </w:t>
      </w:r>
      <w:r w:rsidR="009E466E">
        <w:t>access UE</w:t>
      </w:r>
      <w:r>
        <w:t>s</w:t>
      </w:r>
      <w:r w:rsidR="009E466E">
        <w:t xml:space="preserve"> and IAB </w:t>
      </w:r>
      <w:r>
        <w:t xml:space="preserve">nodes </w:t>
      </w:r>
      <w:r w:rsidR="009E466E">
        <w:t>must be orthogonal in time, as already agreed in</w:t>
      </w:r>
      <w:r>
        <w:t xml:space="preserve"> </w:t>
      </w:r>
      <w:r>
        <w:fldChar w:fldCharType="begin"/>
      </w:r>
      <w:r>
        <w:instrText xml:space="preserve"> REF _Ref525307637 \r \h </w:instrText>
      </w:r>
      <w:r>
        <w:fldChar w:fldCharType="separate"/>
      </w:r>
      <w:r>
        <w:t>[4]</w:t>
      </w:r>
      <w:r>
        <w:fldChar w:fldCharType="end"/>
      </w:r>
      <w:r w:rsidR="009E466E">
        <w:t xml:space="preserve">. </w:t>
      </w:r>
      <w:r>
        <w:t>The overhead due to IAB specific SSB TX can be limited with less frequent transmission of SSB bursts/burst sets.</w:t>
      </w:r>
      <w:r w:rsidR="009E466E">
        <w:t xml:space="preserve"> </w:t>
      </w:r>
    </w:p>
    <w:p w14:paraId="5159AE57" w14:textId="77777777" w:rsidR="009E466E" w:rsidRDefault="009E466E" w:rsidP="009E466E">
      <w:r>
        <w:t xml:space="preserve">Simple alternatives </w:t>
      </w:r>
      <w:r w:rsidR="00B65D2C">
        <w:t xml:space="preserve">for </w:t>
      </w:r>
      <w:r>
        <w:t xml:space="preserve">SSBs </w:t>
      </w:r>
      <w:r w:rsidR="00B65D2C">
        <w:t xml:space="preserve">multiplexing </w:t>
      </w:r>
      <w:r>
        <w:t xml:space="preserve">are shown in Figure 2. </w:t>
      </w:r>
      <w:r w:rsidR="00504AC6">
        <w:t>T</w:t>
      </w:r>
      <w:r>
        <w:t xml:space="preserve">he upper part </w:t>
      </w:r>
      <w:r w:rsidR="00504AC6">
        <w:t xml:space="preserve">illustrated </w:t>
      </w:r>
      <w:r>
        <w:t xml:space="preserve">an example of half-frames carrying SSB sets both for access UEs and IAB, which allows the minimum 5sf periodicity for access UE SSB transmission. In the lower part, access UE and IAB SSBs are transmitted in different half-frames. Depending on the number of (SSB) beams, either the lower or both configurations could be suitable for a node. The lower configuration </w:t>
      </w:r>
      <w:r w:rsidR="00504AC6">
        <w:t xml:space="preserve">must </w:t>
      </w:r>
      <w:r>
        <w:t>be used by all the nodes in a group where mutual discovery is desired</w:t>
      </w:r>
      <w:r w:rsidR="00504AC6">
        <w:t xml:space="preserve"> and where the </w:t>
      </w:r>
      <w:r>
        <w:t>upper configuration is not suitable for at least one node.</w:t>
      </w:r>
    </w:p>
    <w:p w14:paraId="788227AE" w14:textId="77777777" w:rsidR="001A7509" w:rsidRDefault="001A7509" w:rsidP="001A7509">
      <w:pPr>
        <w:jc w:val="center"/>
      </w:pPr>
      <w:r>
        <w:rPr>
          <w:noProof/>
        </w:rPr>
        <w:drawing>
          <wp:inline distT="0" distB="0" distL="0" distR="0" wp14:anchorId="11AF7873" wp14:editId="13AC8528">
            <wp:extent cx="5376672" cy="1537386"/>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90917" cy="1541459"/>
                    </a:xfrm>
                    <a:prstGeom prst="rect">
                      <a:avLst/>
                    </a:prstGeom>
                    <a:noFill/>
                    <a:ln>
                      <a:noFill/>
                    </a:ln>
                  </pic:spPr>
                </pic:pic>
              </a:graphicData>
            </a:graphic>
          </wp:inline>
        </w:drawing>
      </w:r>
    </w:p>
    <w:p w14:paraId="34392384" w14:textId="77777777" w:rsidR="001A7509" w:rsidRDefault="001A7509" w:rsidP="001A7509">
      <w:pPr>
        <w:pStyle w:val="Caption"/>
        <w:jc w:val="center"/>
      </w:pPr>
      <w:r>
        <w:t xml:space="preserve">Figure </w:t>
      </w:r>
      <w:fldSimple w:instr=" SEQ Figure \* ARABIC ">
        <w:r>
          <w:rPr>
            <w:noProof/>
          </w:rPr>
          <w:t>2</w:t>
        </w:r>
      </w:fldSimple>
      <w:r>
        <w:t xml:space="preserve"> Multiplexing of UE and IAB specific SSBs</w:t>
      </w:r>
    </w:p>
    <w:p w14:paraId="0F14489C" w14:textId="77777777" w:rsidR="00504AC6" w:rsidRPr="00504AC6" w:rsidRDefault="00504AC6" w:rsidP="00504AC6">
      <w:pPr>
        <w:rPr>
          <w:b/>
        </w:rPr>
      </w:pPr>
      <w:r w:rsidRPr="00504AC6">
        <w:rPr>
          <w:b/>
        </w:rPr>
        <w:t>Multiplexing between IAB SSBs of different nodes</w:t>
      </w:r>
      <w:r>
        <w:rPr>
          <w:b/>
        </w:rPr>
        <w:t>:</w:t>
      </w:r>
    </w:p>
    <w:p w14:paraId="1832515B" w14:textId="77777777" w:rsidR="001A7509" w:rsidRPr="001A7509" w:rsidRDefault="00504AC6" w:rsidP="00504AC6">
      <w:r>
        <w:t>The selected approach may depend on how much information for assistance will be provided for the IAB SSB detection. With minimal co-ordination of SSB transmissions between the nodes, it could be specified, like with access UE SSBs, that IAB SSBs are transmitted and received in certain slots within windows know to all nodes. A node could decide randomly or following a pseudorandom sequence the windows where it transmits its SSB sets. In the other windows it would receive. An upstream (i.e. parent) node should know its downstream node’s IAB TX-RX pattern in order to schedule the link direction optimally (e.g. avoiding guard times for TX-RX and RX-TX turnings). With random patterns, separate signalling would be needed (e.g. the upstream node deciding the TX-RX pattern of its downstream nodes) whereas if pseudorandom patterns were derived e.g. from nodes’ PCIs, the pattern of the downstream node could be readily known to the upstream node. Another benefit of pseudorandom patterns would be that if a node succeeds in detecting one of the SSBs sent by another node, it knows based on the PCI in which windows to search other SSBs of the node. Pseudorandom or random TX-RX patterns are depicted in Figure 3.</w:t>
      </w:r>
    </w:p>
    <w:p w14:paraId="5D67CAE0" w14:textId="77777777" w:rsidR="00686E1D" w:rsidRDefault="00B65D2C" w:rsidP="00B65D2C">
      <w:pPr>
        <w:jc w:val="center"/>
      </w:pPr>
      <w:r>
        <w:rPr>
          <w:noProof/>
        </w:rPr>
        <w:drawing>
          <wp:inline distT="0" distB="0" distL="0" distR="0" wp14:anchorId="5C7D1DE8" wp14:editId="46F126F8">
            <wp:extent cx="5559552" cy="1249705"/>
            <wp:effectExtent l="0" t="0" r="0" b="0"/>
            <wp:docPr id="2337" name="Picture 2337"/>
            <wp:cNvGraphicFramePr/>
            <a:graphic xmlns:a="http://schemas.openxmlformats.org/drawingml/2006/main">
              <a:graphicData uri="http://schemas.openxmlformats.org/drawingml/2006/picture">
                <pic:pic xmlns:pic="http://schemas.openxmlformats.org/drawingml/2006/picture">
                  <pic:nvPicPr>
                    <pic:cNvPr id="2337" name="Picture 2337"/>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69182" cy="1251870"/>
                    </a:xfrm>
                    <a:prstGeom prst="rect">
                      <a:avLst/>
                    </a:prstGeom>
                    <a:noFill/>
                    <a:ln>
                      <a:noFill/>
                    </a:ln>
                  </pic:spPr>
                </pic:pic>
              </a:graphicData>
            </a:graphic>
          </wp:inline>
        </w:drawing>
      </w:r>
    </w:p>
    <w:p w14:paraId="71DEE3C4" w14:textId="77777777" w:rsidR="00B65D2C" w:rsidRDefault="00B65D2C" w:rsidP="00B65D2C">
      <w:pPr>
        <w:pStyle w:val="Caption"/>
        <w:jc w:val="center"/>
      </w:pPr>
      <w:r>
        <w:t xml:space="preserve">Figure </w:t>
      </w:r>
      <w:fldSimple w:instr=" SEQ Figure \* ARABIC ">
        <w:r w:rsidR="001A7509">
          <w:rPr>
            <w:noProof/>
          </w:rPr>
          <w:t>3</w:t>
        </w:r>
      </w:fldSimple>
      <w:r w:rsidR="001A7509">
        <w:t xml:space="preserve"> IAB SSB transmissions with (pseudo-)random patterns</w:t>
      </w:r>
    </w:p>
    <w:p w14:paraId="0ED4C1BB" w14:textId="77777777" w:rsidR="001A7509" w:rsidRDefault="009205E2" w:rsidP="001A7509">
      <w:r w:rsidRPr="009205E2">
        <w:t xml:space="preserve">An alternative for (pseudo)random patterns would be TX-RX patterns that allow mutual discovery opportunities within a group of nodes in a fixed number of TX-RX phases. When the length of a TX-RX pattern is N and the number of TX phases in a pattern is M, the number of patterns for mutual discovery is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r>
          <w:rPr>
            <w:rFonts w:ascii="Cambria Math" w:hAnsi="Cambria Math"/>
          </w:rPr>
          <m:t>.</m:t>
        </m:r>
      </m:oMath>
      <w:r w:rsidRPr="009205E2">
        <w:t xml:space="preserve"> Figure 4 shows as an example the </w:t>
      </w:r>
      <m:oMath>
        <m:d>
          <m:dPr>
            <m:ctrlPr>
              <w:rPr>
                <w:rFonts w:ascii="Cambria Math" w:hAnsi="Cambria Math"/>
                <w:i/>
              </w:rPr>
            </m:ctrlPr>
          </m:dPr>
          <m:e>
            <m:f>
              <m:fPr>
                <m:type m:val="noBar"/>
                <m:ctrlPr>
                  <w:rPr>
                    <w:rFonts w:ascii="Cambria Math" w:hAnsi="Cambria Math"/>
                    <w:i/>
                  </w:rPr>
                </m:ctrlPr>
              </m:fPr>
              <m:num>
                <m:r>
                  <w:rPr>
                    <w:rFonts w:ascii="Cambria Math" w:hAnsi="Cambria Math"/>
                  </w:rPr>
                  <m:t>4</m:t>
                </m:r>
              </m:num>
              <m:den>
                <m:r>
                  <w:rPr>
                    <w:rFonts w:ascii="Cambria Math" w:hAnsi="Cambria Math"/>
                  </w:rPr>
                  <m:t>2</m:t>
                </m:r>
              </m:den>
            </m:f>
          </m:e>
        </m:d>
      </m:oMath>
      <w:r w:rsidRPr="009205E2">
        <w:t xml:space="preserve"> -patterns. With </w:t>
      </w:r>
      <m:oMath>
        <m:d>
          <m:dPr>
            <m:ctrlPr>
              <w:rPr>
                <w:rFonts w:ascii="Cambria Math" w:hAnsi="Cambria Math"/>
                <w:i/>
              </w:rPr>
            </m:ctrlPr>
          </m:dPr>
          <m:e>
            <m:f>
              <m:fPr>
                <m:type m:val="noBar"/>
                <m:ctrlPr>
                  <w:rPr>
                    <w:rFonts w:ascii="Cambria Math" w:hAnsi="Cambria Math"/>
                    <w:i/>
                  </w:rPr>
                </m:ctrlPr>
              </m:fPr>
              <m:num>
                <m:r>
                  <w:rPr>
                    <w:rFonts w:ascii="Cambria Math" w:hAnsi="Cambria Math"/>
                  </w:rPr>
                  <m:t>N</m:t>
                </m:r>
              </m:num>
              <m:den>
                <m:r>
                  <w:rPr>
                    <w:rFonts w:ascii="Cambria Math" w:hAnsi="Cambria Math"/>
                  </w:rPr>
                  <m:t>M</m:t>
                </m:r>
              </m:den>
            </m:f>
          </m:e>
        </m:d>
      </m:oMath>
      <w:r w:rsidRPr="009205E2">
        <w:t>-patterns, network should coordinate the reuse of patterns.</w:t>
      </w:r>
      <w:r>
        <w:t xml:space="preserve"> For more details, see </w:t>
      </w:r>
      <w:r>
        <w:fldChar w:fldCharType="begin"/>
      </w:r>
      <w:r>
        <w:instrText xml:space="preserve"> REF _Ref525560854 \r \h </w:instrText>
      </w:r>
      <w:r>
        <w:fldChar w:fldCharType="separate"/>
      </w:r>
      <w:r>
        <w:t>[5]</w:t>
      </w:r>
      <w:r>
        <w:fldChar w:fldCharType="end"/>
      </w:r>
      <w:r>
        <w:t xml:space="preserve">. </w:t>
      </w:r>
    </w:p>
    <w:p w14:paraId="1318C93A" w14:textId="77777777" w:rsidR="00DD5BA4" w:rsidRDefault="00DD5BA4" w:rsidP="001A7509">
      <w:r w:rsidRPr="00B268B2">
        <w:rPr>
          <w:noProof/>
        </w:rPr>
        <w:lastRenderedPageBreak/>
        <w:drawing>
          <wp:inline distT="0" distB="0" distL="0" distR="0" wp14:anchorId="2C70E232" wp14:editId="01A25370">
            <wp:extent cx="6120765" cy="225552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2255520"/>
                    </a:xfrm>
                    <a:prstGeom prst="rect">
                      <a:avLst/>
                    </a:prstGeom>
                    <a:noFill/>
                    <a:ln>
                      <a:noFill/>
                    </a:ln>
                  </pic:spPr>
                </pic:pic>
              </a:graphicData>
            </a:graphic>
          </wp:inline>
        </w:drawing>
      </w:r>
    </w:p>
    <w:p w14:paraId="38EC6294" w14:textId="77777777" w:rsidR="00DD5BA4" w:rsidRDefault="00DD5BA4" w:rsidP="00B57104">
      <w:pPr>
        <w:pStyle w:val="Caption"/>
        <w:jc w:val="center"/>
      </w:pPr>
      <w:r>
        <w:t xml:space="preserve">Figure 4 IAB SSB transmissions with </w:t>
      </w:r>
      <w:r w:rsidRPr="009205E2">
        <w:t xml:space="preserve"> </w:t>
      </w:r>
      <m:oMath>
        <m:d>
          <m:dPr>
            <m:ctrlPr>
              <w:rPr>
                <w:rFonts w:ascii="Cambria Math" w:hAnsi="Cambria Math"/>
              </w:rPr>
            </m:ctrlPr>
          </m:dPr>
          <m:e>
            <m:f>
              <m:fPr>
                <m:type m:val="noBar"/>
                <m:ctrlPr>
                  <w:rPr>
                    <w:rFonts w:ascii="Cambria Math" w:hAnsi="Cambria Math"/>
                  </w:rPr>
                </m:ctrlPr>
              </m:fPr>
              <m:num>
                <m:r>
                  <w:rPr>
                    <w:rFonts w:ascii="Cambria Math" w:hAnsi="Cambria Math"/>
                  </w:rPr>
                  <m:t>4</m:t>
                </m:r>
              </m:num>
              <m:den>
                <m:r>
                  <w:rPr>
                    <w:rFonts w:ascii="Cambria Math" w:hAnsi="Cambria Math"/>
                  </w:rPr>
                  <m:t>2</m:t>
                </m:r>
              </m:den>
            </m:f>
          </m:e>
        </m:d>
        <m:r>
          <w:rPr>
            <w:rFonts w:ascii="Cambria Math" w:hAnsi="Cambria Math"/>
          </w:rPr>
          <m:t xml:space="preserve"> patterns</m:t>
        </m:r>
      </m:oMath>
    </w:p>
    <w:p w14:paraId="5F8E9D8F" w14:textId="77777777" w:rsidR="009205E2" w:rsidRDefault="000803ED" w:rsidP="001A7509">
      <w:r>
        <w:t>The SSB TX-RX patterns may need to be adapted each time the topology changes, e.g. when a new IAB node is deployed. There may be also a limitation how many nodes a pattern can support. Therefore, the definition of the pattern should preferably be able to cope with maximum number of monitored nodes that can be anticipated based on the IAB topology.</w:t>
      </w:r>
    </w:p>
    <w:p w14:paraId="7D3F4FF6" w14:textId="77777777" w:rsidR="000803ED" w:rsidRPr="00B57104" w:rsidRDefault="000803ED" w:rsidP="001A7509">
      <w:pPr>
        <w:rPr>
          <w:b/>
        </w:rPr>
      </w:pPr>
      <w:r w:rsidRPr="00B57104">
        <w:rPr>
          <w:b/>
        </w:rPr>
        <w:t>Observation 6: Used SSB TX-RX pattern may need to be adapted when the IAB topology is changed.</w:t>
      </w:r>
    </w:p>
    <w:p w14:paraId="00EB887B" w14:textId="77777777" w:rsidR="001A7509" w:rsidRDefault="000803ED" w:rsidP="001A7509">
      <w:r>
        <w:t>The configuration of the TX-RX pattern needs enhanced signalling either over RRC or F1, details are FFS.</w:t>
      </w:r>
    </w:p>
    <w:p w14:paraId="66DF90C0" w14:textId="77777777" w:rsidR="000803ED" w:rsidRPr="00B57104" w:rsidRDefault="000803ED" w:rsidP="001A7509">
      <w:pPr>
        <w:rPr>
          <w:b/>
        </w:rPr>
      </w:pPr>
      <w:r w:rsidRPr="00B57104">
        <w:rPr>
          <w:b/>
        </w:rPr>
        <w:t xml:space="preserve">Observation 7: New signalling would be needed to configure appropriate TX-RX patterns for each </w:t>
      </w:r>
      <w:r w:rsidR="007A369A" w:rsidRPr="00B57104">
        <w:rPr>
          <w:b/>
        </w:rPr>
        <w:t xml:space="preserve">IAB </w:t>
      </w:r>
      <w:r w:rsidRPr="00B57104">
        <w:rPr>
          <w:b/>
        </w:rPr>
        <w:t>node to be able to monitor all relevant neighbouring nodes.</w:t>
      </w:r>
    </w:p>
    <w:p w14:paraId="29C10D30" w14:textId="77777777" w:rsidR="000803ED" w:rsidRPr="001A7509" w:rsidRDefault="000803ED" w:rsidP="001A7509"/>
    <w:p w14:paraId="6E23BDE8" w14:textId="77777777" w:rsidR="00CD4C7B" w:rsidRPr="00172086" w:rsidRDefault="00AE70C4" w:rsidP="00CD4C7B">
      <w:pPr>
        <w:pStyle w:val="Heading2"/>
      </w:pPr>
      <w:r w:rsidRPr="00172086">
        <w:t>3</w:t>
      </w:r>
      <w:r w:rsidR="00CD4C7B" w:rsidRPr="00172086">
        <w:t>.2</w:t>
      </w:r>
      <w:r w:rsidR="00CD4C7B" w:rsidRPr="00172086">
        <w:tab/>
      </w:r>
      <w:r w:rsidR="007D57A0" w:rsidRPr="00172086">
        <w:t xml:space="preserve">CSI-RS </w:t>
      </w:r>
      <w:r w:rsidR="007D57A0" w:rsidRPr="00B57104">
        <w:t>based solution</w:t>
      </w:r>
      <w:r w:rsidRPr="00172086">
        <w:t xml:space="preserve"> (Solution 2)</w:t>
      </w:r>
    </w:p>
    <w:p w14:paraId="6C395475" w14:textId="77777777" w:rsidR="007A369A" w:rsidRDefault="007A369A" w:rsidP="007A369A">
      <w:pPr>
        <w:jc w:val="both"/>
      </w:pPr>
      <w:r>
        <w:t>For RRM measurements, following agreement was reached in RAN1 #94:</w:t>
      </w:r>
    </w:p>
    <w:p w14:paraId="6E69EAFC" w14:textId="77777777" w:rsidR="007A369A" w:rsidRPr="00B57104" w:rsidRDefault="007A369A" w:rsidP="007A369A">
      <w:pPr>
        <w:numPr>
          <w:ilvl w:val="0"/>
          <w:numId w:val="12"/>
        </w:numPr>
        <w:spacing w:after="0"/>
        <w:rPr>
          <w:i/>
        </w:rPr>
      </w:pPr>
      <w:r w:rsidRPr="00B57104">
        <w:rPr>
          <w:i/>
        </w:rPr>
        <w:t>For the purpose of backhaul link measurements IAB supports both SSB and CSI-RS for backhaul link RSRP/RSRQ RRM measurements. Further consider the following aspects:</w:t>
      </w:r>
    </w:p>
    <w:p w14:paraId="7068C7B2" w14:textId="77777777" w:rsidR="007A369A" w:rsidRPr="00493F03" w:rsidRDefault="007A369A" w:rsidP="007A369A">
      <w:pPr>
        <w:numPr>
          <w:ilvl w:val="1"/>
          <w:numId w:val="12"/>
        </w:numPr>
        <w:spacing w:after="0"/>
      </w:pPr>
      <w:r w:rsidRPr="00B57104">
        <w:rPr>
          <w:i/>
        </w:rPr>
        <w:t xml:space="preserve">Enhancements to Rel.15 CSI-RS and SSB measurement configurations and required coordination </w:t>
      </w:r>
    </w:p>
    <w:p w14:paraId="7EC1E521" w14:textId="77777777" w:rsidR="007A369A" w:rsidRDefault="007A369A" w:rsidP="007A369A">
      <w:pPr>
        <w:jc w:val="both"/>
      </w:pPr>
    </w:p>
    <w:p w14:paraId="6F8031B9" w14:textId="77777777" w:rsidR="007A369A" w:rsidRDefault="007A369A" w:rsidP="007A369A">
      <w:pPr>
        <w:jc w:val="both"/>
      </w:pPr>
      <w:r>
        <w:t xml:space="preserve">For </w:t>
      </w:r>
      <w:r w:rsidR="00086092">
        <w:t xml:space="preserve">the </w:t>
      </w:r>
      <w:r>
        <w:t xml:space="preserve">radio link monitoring, two link types should be distinguished: active </w:t>
      </w:r>
      <w:r w:rsidR="00086092">
        <w:t xml:space="preserve">BH </w:t>
      </w:r>
      <w:r>
        <w:t xml:space="preserve">links carrying control and/or data and candidate links to which the BH connection may be handed over in case of a failure on the active link(s). For the active link(s), monitoring can be based on CSI-RSs transmitted by Donor or upstream IAB node and SRS transmissions by the downstream IAB node, just like between an access UE and a gNB. For monitoring over candidate links, CSI-RS transmissions and reception can take place the way it is specified for mobility measurements. For mobility, UE can be configured to measure multiple CSI-RS (per PCI) with periodicity between 4 and 40ms, with fully flexible slot and symbol offset, and with certain frequency domain allocation and sequence. If associated SSB is not indicated, UE bases the timing on the timing of its serving cell. This way of configuring can be used as such for IAB measurements. UEs can be configured to report measurement results per CSI-RS or per cell. In case of IAB, results per CSI-RS rather than averaging over multiple beams would be more meaningful as long as only stationary nodes are considered. </w:t>
      </w:r>
    </w:p>
    <w:p w14:paraId="24008776" w14:textId="77777777" w:rsidR="007A369A" w:rsidRPr="00A3336C" w:rsidRDefault="007A369A" w:rsidP="007A369A">
      <w:pPr>
        <w:jc w:val="both"/>
      </w:pPr>
      <w:r>
        <w:t xml:space="preserve">For IAB, the maximum periodicity of CSI-RS transmission could be larger than 40ms. Another way of avoiding unnecessary resource use would be network triggering a set of measurements (and reference signal transmissions) only when seen useful. </w:t>
      </w:r>
      <w:r w:rsidR="00086092">
        <w:t>With architecture group 1 where the CU is at the donor, the CSI-RS and corresponding measurement configuration can be controlled by the IAB-donor for all subtending IAB nodes.</w:t>
      </w:r>
      <w:r w:rsidR="00447853">
        <w:t xml:space="preserve"> Configurations between IAB-donors would need to be exchanged over Xn. Such option is under consideration in RAN3 and is up to RAN3 to agree.</w:t>
      </w:r>
      <w:r>
        <w:t xml:space="preserve">                  </w:t>
      </w:r>
    </w:p>
    <w:p w14:paraId="43597A15" w14:textId="77777777" w:rsidR="007A369A" w:rsidRDefault="007A369A" w:rsidP="007A369A">
      <w:pPr>
        <w:jc w:val="both"/>
      </w:pPr>
      <w:r>
        <w:t xml:space="preserve">Because of the flexible resource configuration of CSI-RS half-duplex constraint is not problematic.  </w:t>
      </w:r>
    </w:p>
    <w:p w14:paraId="5AAD44A7" w14:textId="77777777" w:rsidR="00C06D74" w:rsidRDefault="007A369A" w:rsidP="00B57104">
      <w:pPr>
        <w:jc w:val="both"/>
      </w:pPr>
      <w:r>
        <w:rPr>
          <w:b/>
        </w:rPr>
        <w:t xml:space="preserve">Observation </w:t>
      </w:r>
      <w:r w:rsidR="00086092" w:rsidRPr="00B57104">
        <w:rPr>
          <w:b/>
        </w:rPr>
        <w:t>8</w:t>
      </w:r>
      <w:r w:rsidRPr="00FD650A">
        <w:rPr>
          <w:b/>
        </w:rPr>
        <w:t xml:space="preserve">: </w:t>
      </w:r>
      <w:r>
        <w:rPr>
          <w:b/>
        </w:rPr>
        <w:t xml:space="preserve">CSI-RS based IAB link monitoring of candidate links can be done like UE measurements for mobility except that the maximum periodicity could be larger for IAB. </w:t>
      </w:r>
    </w:p>
    <w:p w14:paraId="442FB061" w14:textId="5F3FD50C" w:rsidR="00447853" w:rsidRPr="00447853" w:rsidRDefault="00447853" w:rsidP="00B57104">
      <w:pPr>
        <w:jc w:val="both"/>
      </w:pPr>
      <w:r>
        <w:lastRenderedPageBreak/>
        <w:t xml:space="preserve">The IAB detection/discovery can be performed the same way as monitoring described above by utilizing the measurement results of the cell selection as the basis for candidate links for a newly deployed IAB node. The new node can report </w:t>
      </w:r>
      <w:r w:rsidR="00C758C0">
        <w:t xml:space="preserve">its measurement </w:t>
      </w:r>
      <w:r>
        <w:t>results while setting up the connection. Nodes of the reported cells can be then configured to monitor CSI-RS TX configured for the new node to enable the discovery by the neighbouring nodes. Relevant signalling for such operation exists and therefore Sol.</w:t>
      </w:r>
      <w:r w:rsidR="00495A71">
        <w:t xml:space="preserve"> </w:t>
      </w:r>
      <w:r>
        <w:t>2 may not need any enhancements for signalling (except possible Xn enhancements)</w:t>
      </w:r>
      <w:r w:rsidR="002A61E5">
        <w:t>. Therefore, the Sol.</w:t>
      </w:r>
      <w:r w:rsidR="00495A71">
        <w:t xml:space="preserve"> </w:t>
      </w:r>
      <w:r w:rsidR="002A61E5">
        <w:t>3 can be considered as an implementation option.</w:t>
      </w:r>
    </w:p>
    <w:p w14:paraId="748E60C9" w14:textId="77777777" w:rsidR="002A61E5" w:rsidRPr="00B57104" w:rsidRDefault="002A61E5" w:rsidP="00B57104">
      <w:pPr>
        <w:jc w:val="both"/>
        <w:rPr>
          <w:b/>
        </w:rPr>
      </w:pPr>
      <w:r>
        <w:rPr>
          <w:b/>
        </w:rPr>
        <w:t>Observation 9: Solution 2 is supported by existing Uu signalling and can be considered as an implementation option.</w:t>
      </w:r>
    </w:p>
    <w:p w14:paraId="15240046" w14:textId="77777777" w:rsidR="00C06D74" w:rsidRPr="006E13D1" w:rsidRDefault="00C06D74" w:rsidP="00C06D74">
      <w:pPr>
        <w:pStyle w:val="TF"/>
        <w:jc w:val="left"/>
      </w:pPr>
    </w:p>
    <w:p w14:paraId="212B3DA5" w14:textId="77777777" w:rsidR="00CD4C7B" w:rsidRPr="00172086" w:rsidRDefault="00AE70C4" w:rsidP="00CD4C7B">
      <w:pPr>
        <w:pStyle w:val="Heading1"/>
      </w:pPr>
      <w:r w:rsidRPr="00172086">
        <w:t>4</w:t>
      </w:r>
      <w:r w:rsidR="00CD4C7B" w:rsidRPr="00172086">
        <w:tab/>
      </w:r>
      <w:r w:rsidR="007D57A0" w:rsidRPr="00B57104">
        <w:t>Conclusions</w:t>
      </w:r>
    </w:p>
    <w:p w14:paraId="12E8AFF9" w14:textId="6C4910D1" w:rsidR="00CD4C7B" w:rsidRPr="00B57104" w:rsidRDefault="002A61E5" w:rsidP="00CD4C7B">
      <w:r w:rsidRPr="00B57104">
        <w:t>In this contribution we have elaborated the optio</w:t>
      </w:r>
      <w:r w:rsidR="00B57104">
        <w:t>n</w:t>
      </w:r>
      <w:r w:rsidRPr="00B57104">
        <w:t>s for IAB node detection and monitoring. Based on the analysis we ended up with following observations and proposals.</w:t>
      </w:r>
    </w:p>
    <w:p w14:paraId="03B38C72" w14:textId="77777777" w:rsidR="002A61E5" w:rsidRPr="00D510A5" w:rsidRDefault="002A61E5" w:rsidP="002A61E5">
      <w:pPr>
        <w:rPr>
          <w:b/>
        </w:rPr>
      </w:pPr>
      <w:r w:rsidRPr="00D510A5">
        <w:rPr>
          <w:b/>
        </w:rPr>
        <w:t>Observation 1: Initial access of an IAB node can be performed with or without broadcast assistance information related to IAB operation.</w:t>
      </w:r>
    </w:p>
    <w:p w14:paraId="1A1FB29B" w14:textId="77777777" w:rsidR="002A61E5" w:rsidRPr="00D510A5" w:rsidRDefault="002A61E5" w:rsidP="002A61E5">
      <w:pPr>
        <w:rPr>
          <w:b/>
        </w:rPr>
      </w:pPr>
      <w:r w:rsidRPr="00D510A5">
        <w:rPr>
          <w:b/>
        </w:rPr>
        <w:t>Observation 2: The connection setup procedure may include BH change if a connection feasible or better suited for IAB backhauling is available.</w:t>
      </w:r>
    </w:p>
    <w:p w14:paraId="4D1398D5" w14:textId="77777777" w:rsidR="002A61E5" w:rsidRPr="00861234" w:rsidRDefault="002A61E5" w:rsidP="002A61E5">
      <w:pPr>
        <w:rPr>
          <w:b/>
        </w:rPr>
      </w:pPr>
      <w:r w:rsidRPr="00861234">
        <w:rPr>
          <w:b/>
        </w:rPr>
        <w:t xml:space="preserve">Observation </w:t>
      </w:r>
      <w:r>
        <w:rPr>
          <w:b/>
        </w:rPr>
        <w:t>3</w:t>
      </w:r>
      <w:r w:rsidRPr="00861234">
        <w:rPr>
          <w:b/>
        </w:rPr>
        <w:t>: To eliminate the need to extend the SMTC window, the SSB TX may have to override the pattern for slot allocation for different links and UL/DL directions.</w:t>
      </w:r>
    </w:p>
    <w:p w14:paraId="03DB09E3" w14:textId="77777777" w:rsidR="002A61E5" w:rsidRPr="00686E1D" w:rsidRDefault="002A61E5" w:rsidP="002A61E5">
      <w:pPr>
        <w:rPr>
          <w:b/>
        </w:rPr>
      </w:pPr>
      <w:r w:rsidRPr="00686E1D">
        <w:rPr>
          <w:b/>
        </w:rPr>
        <w:t xml:space="preserve">Observation </w:t>
      </w:r>
      <w:r>
        <w:rPr>
          <w:b/>
        </w:rPr>
        <w:t>4</w:t>
      </w:r>
      <w:r w:rsidRPr="00686E1D">
        <w:rPr>
          <w:b/>
        </w:rPr>
        <w:t>. Solution 1-A requires muting of SSBs affecting the access UEs. It is FFS what will be the requirements for the IAB monitoring and hence, how much the muting will affect regular SSB transmission.</w:t>
      </w:r>
    </w:p>
    <w:p w14:paraId="0516E92A" w14:textId="77777777" w:rsidR="002A61E5" w:rsidRDefault="002A61E5" w:rsidP="002A61E5">
      <w:pPr>
        <w:rPr>
          <w:b/>
        </w:rPr>
      </w:pPr>
      <w:r w:rsidRPr="00D510A5">
        <w:rPr>
          <w:b/>
        </w:rPr>
        <w:t xml:space="preserve">Observation </w:t>
      </w:r>
      <w:r>
        <w:rPr>
          <w:b/>
        </w:rPr>
        <w:t>5</w:t>
      </w:r>
      <w:r w:rsidRPr="00D510A5">
        <w:rPr>
          <w:b/>
        </w:rPr>
        <w:t>. Solution 1-A has the advantage of requiring only one set of SSB and SMTC configurations.</w:t>
      </w:r>
    </w:p>
    <w:p w14:paraId="5AFB9D5D" w14:textId="77777777" w:rsidR="002A61E5" w:rsidRPr="00D510A5" w:rsidRDefault="002A61E5" w:rsidP="002A61E5">
      <w:pPr>
        <w:rPr>
          <w:b/>
        </w:rPr>
      </w:pPr>
      <w:r w:rsidRPr="00D510A5">
        <w:rPr>
          <w:b/>
        </w:rPr>
        <w:t>Observation 6: Used SSB TX-RX pattern may need to be adapted when the IAB topology is changed.</w:t>
      </w:r>
    </w:p>
    <w:p w14:paraId="01D0DFF7" w14:textId="77777777" w:rsidR="002A61E5" w:rsidRPr="00D510A5" w:rsidRDefault="002A61E5" w:rsidP="002A61E5">
      <w:pPr>
        <w:rPr>
          <w:b/>
        </w:rPr>
      </w:pPr>
      <w:r w:rsidRPr="00D510A5">
        <w:rPr>
          <w:b/>
        </w:rPr>
        <w:t>Observation 7: New signalling would be needed to configure appropriate TX-RX patterns for each IAB node to be able to monitor all relevant neighbouring nodes.</w:t>
      </w:r>
    </w:p>
    <w:p w14:paraId="452CBEC7" w14:textId="77777777" w:rsidR="002A61E5" w:rsidRDefault="002A61E5" w:rsidP="002A61E5">
      <w:pPr>
        <w:jc w:val="both"/>
        <w:rPr>
          <w:b/>
        </w:rPr>
      </w:pPr>
      <w:r>
        <w:rPr>
          <w:b/>
        </w:rPr>
        <w:t xml:space="preserve">Observation </w:t>
      </w:r>
      <w:r w:rsidRPr="00D510A5">
        <w:rPr>
          <w:b/>
        </w:rPr>
        <w:t>8</w:t>
      </w:r>
      <w:r w:rsidRPr="00FD650A">
        <w:rPr>
          <w:b/>
        </w:rPr>
        <w:t xml:space="preserve">: </w:t>
      </w:r>
      <w:r>
        <w:rPr>
          <w:b/>
        </w:rPr>
        <w:t xml:space="preserve">CSI-RS based IAB link monitoring of candidate links can be done like UE measurements for mobility except that the maximum periodicity could be larger for IAB. </w:t>
      </w:r>
    </w:p>
    <w:p w14:paraId="609FAD0A" w14:textId="77777777" w:rsidR="002A61E5" w:rsidRPr="00D510A5" w:rsidRDefault="002A61E5" w:rsidP="002A61E5">
      <w:pPr>
        <w:jc w:val="both"/>
        <w:rPr>
          <w:b/>
        </w:rPr>
      </w:pPr>
      <w:r>
        <w:rPr>
          <w:b/>
        </w:rPr>
        <w:t>Observation 9: Solution 2 is supported by existing Uu signalling and can be considered as an implementation option.</w:t>
      </w:r>
    </w:p>
    <w:p w14:paraId="68BE33D2" w14:textId="77777777" w:rsidR="002A61E5" w:rsidRDefault="002A61E5" w:rsidP="002A61E5">
      <w:pPr>
        <w:rPr>
          <w:b/>
        </w:rPr>
      </w:pPr>
    </w:p>
    <w:p w14:paraId="63D6DB4D" w14:textId="77777777" w:rsidR="002A61E5" w:rsidRPr="00D510A5" w:rsidRDefault="002A61E5" w:rsidP="002A61E5">
      <w:pPr>
        <w:rPr>
          <w:b/>
        </w:rPr>
      </w:pPr>
      <w:r w:rsidRPr="00D510A5">
        <w:rPr>
          <w:b/>
        </w:rPr>
        <w:t>Proposal 1.</w:t>
      </w:r>
      <w:r>
        <w:rPr>
          <w:b/>
        </w:rPr>
        <w:t xml:space="preserve"> Solution 1-A can be considered as feasible option only if the impact to legacy UEs is seen acceptable in terms of measurement performance.</w:t>
      </w:r>
    </w:p>
    <w:p w14:paraId="44A7F4E9" w14:textId="77777777" w:rsidR="002A61E5" w:rsidRDefault="002A61E5" w:rsidP="00CD4C7B">
      <w:r>
        <w:t>As a summary it can be concluded that:</w:t>
      </w:r>
    </w:p>
    <w:p w14:paraId="7A6B639C" w14:textId="77777777" w:rsidR="002A61E5" w:rsidRPr="002A61E5" w:rsidRDefault="002A61E5" w:rsidP="00B57104">
      <w:pPr>
        <w:pStyle w:val="ListParagraph"/>
        <w:numPr>
          <w:ilvl w:val="0"/>
          <w:numId w:val="12"/>
        </w:numPr>
      </w:pPr>
      <w:r w:rsidRPr="002A61E5">
        <w:rPr>
          <w:rFonts w:ascii="Times New Roman" w:eastAsia="Times New Roman" w:hAnsi="Times New Roman" w:cs="Times New Roman"/>
          <w:sz w:val="20"/>
          <w:szCs w:val="20"/>
          <w:lang w:eastAsia="en-US"/>
        </w:rPr>
        <w:t>Solution 1-A can be an option only if the impact to access UEs is considered acceptable</w:t>
      </w:r>
    </w:p>
    <w:p w14:paraId="04D95721" w14:textId="2EDD1B0E" w:rsidR="002A61E5" w:rsidRPr="002A61E5" w:rsidRDefault="002A61E5" w:rsidP="00B57104">
      <w:pPr>
        <w:pStyle w:val="ListParagraph"/>
        <w:numPr>
          <w:ilvl w:val="0"/>
          <w:numId w:val="12"/>
        </w:numPr>
      </w:pPr>
      <w:r w:rsidRPr="002A61E5">
        <w:rPr>
          <w:rFonts w:ascii="Times New Roman" w:eastAsia="Times New Roman" w:hAnsi="Times New Roman" w:cs="Times New Roman"/>
          <w:sz w:val="20"/>
          <w:szCs w:val="20"/>
          <w:lang w:eastAsia="en-US"/>
        </w:rPr>
        <w:t xml:space="preserve">Solution 1-B has the largest specification </w:t>
      </w:r>
      <w:bookmarkStart w:id="0" w:name="_GoBack"/>
      <w:bookmarkEnd w:id="0"/>
      <w:r w:rsidRPr="002A61E5">
        <w:rPr>
          <w:rFonts w:ascii="Times New Roman" w:eastAsia="Times New Roman" w:hAnsi="Times New Roman" w:cs="Times New Roman"/>
          <w:sz w:val="20"/>
          <w:szCs w:val="20"/>
          <w:lang w:eastAsia="en-US"/>
        </w:rPr>
        <w:t>impact due to IAB specific SSB configurations. Furthermore, the additional SSB overhead will be largest</w:t>
      </w:r>
    </w:p>
    <w:p w14:paraId="20F03F6B" w14:textId="77777777" w:rsidR="002A61E5" w:rsidRDefault="002A61E5" w:rsidP="00B57104">
      <w:pPr>
        <w:pStyle w:val="ListParagraph"/>
        <w:numPr>
          <w:ilvl w:val="0"/>
          <w:numId w:val="12"/>
        </w:numPr>
        <w:spacing w:after="240"/>
        <w:ind w:left="913" w:hanging="357"/>
      </w:pPr>
      <w:r w:rsidRPr="002A61E5">
        <w:rPr>
          <w:rFonts w:ascii="Times New Roman" w:eastAsia="Times New Roman" w:hAnsi="Times New Roman" w:cs="Times New Roman"/>
          <w:sz w:val="20"/>
          <w:szCs w:val="20"/>
          <w:lang w:eastAsia="en-US"/>
        </w:rPr>
        <w:t>Solution 2 could be implemented without standard changes and therefore could be an implementation option</w:t>
      </w:r>
    </w:p>
    <w:p w14:paraId="3BBDA8B7" w14:textId="3A19F86B" w:rsidR="00032C14" w:rsidRDefault="00C50943" w:rsidP="002A61E5">
      <w:r>
        <w:t xml:space="preserve">Assuming fixed IAB deployment and synchronous network, </w:t>
      </w:r>
      <w:r w:rsidR="00032C14">
        <w:t>Sol.</w:t>
      </w:r>
      <w:r w:rsidR="00495A71">
        <w:t xml:space="preserve"> </w:t>
      </w:r>
      <w:r w:rsidR="00032C14">
        <w:t xml:space="preserve">2 could be </w:t>
      </w:r>
      <w:r>
        <w:t xml:space="preserve">just </w:t>
      </w:r>
      <w:r w:rsidR="00032C14">
        <w:t>an implementation o</w:t>
      </w:r>
      <w:r>
        <w:t>ption using existing signalling</w:t>
      </w:r>
      <w:r w:rsidR="00032C14">
        <w:t>.</w:t>
      </w:r>
      <w:r>
        <w:t xml:space="preserve"> For such scenario another standardized solution would not be needed for the same purpose.</w:t>
      </w:r>
    </w:p>
    <w:p w14:paraId="75FE3AD6" w14:textId="77777777" w:rsidR="002A61E5" w:rsidRDefault="002A61E5" w:rsidP="002A61E5">
      <w:r>
        <w:t>Based on these point</w:t>
      </w:r>
      <w:r w:rsidR="00032C14">
        <w:t>,</w:t>
      </w:r>
      <w:r>
        <w:t xml:space="preserve"> we propose</w:t>
      </w:r>
      <w:r w:rsidR="00032C14">
        <w:t>:</w:t>
      </w:r>
    </w:p>
    <w:p w14:paraId="35241316" w14:textId="77777777" w:rsidR="00032C14" w:rsidRDefault="00032C14" w:rsidP="002A61E5">
      <w:pPr>
        <w:rPr>
          <w:b/>
        </w:rPr>
      </w:pPr>
      <w:r w:rsidRPr="00B57104">
        <w:rPr>
          <w:b/>
        </w:rPr>
        <w:t xml:space="preserve">Proposal 2: RAN2 is asked to consider the aspects elaborated for the alternative solutions, their impact on access UEs, </w:t>
      </w:r>
      <w:r>
        <w:rPr>
          <w:b/>
        </w:rPr>
        <w:t xml:space="preserve">impact on specifications </w:t>
      </w:r>
      <w:r w:rsidRPr="00B57104">
        <w:rPr>
          <w:b/>
        </w:rPr>
        <w:t xml:space="preserve">and </w:t>
      </w:r>
      <w:r>
        <w:rPr>
          <w:b/>
        </w:rPr>
        <w:t xml:space="preserve">their requirements for </w:t>
      </w:r>
      <w:r w:rsidRPr="00B57104">
        <w:rPr>
          <w:b/>
        </w:rPr>
        <w:t>implementation</w:t>
      </w:r>
      <w:r>
        <w:rPr>
          <w:b/>
        </w:rPr>
        <w:t>.</w:t>
      </w:r>
    </w:p>
    <w:p w14:paraId="5D6F1E39" w14:textId="77777777" w:rsidR="002A61E5" w:rsidRPr="00172086" w:rsidRDefault="002A61E5" w:rsidP="00CD4C7B"/>
    <w:p w14:paraId="0AE7557D" w14:textId="77777777" w:rsidR="00CD4C7B" w:rsidRPr="006E13D1" w:rsidRDefault="00CD4C7B" w:rsidP="00CD4C7B">
      <w:pPr>
        <w:pStyle w:val="Heading1"/>
      </w:pPr>
      <w:r w:rsidRPr="006E13D1">
        <w:lastRenderedPageBreak/>
        <w:t>References</w:t>
      </w:r>
    </w:p>
    <w:p w14:paraId="67C75BA6" w14:textId="77777777" w:rsidR="00967D61" w:rsidRDefault="00967D61" w:rsidP="00B57104">
      <w:pPr>
        <w:numPr>
          <w:ilvl w:val="0"/>
          <w:numId w:val="4"/>
        </w:numPr>
        <w:overflowPunct w:val="0"/>
        <w:autoSpaceDE w:val="0"/>
        <w:autoSpaceDN w:val="0"/>
        <w:adjustRightInd w:val="0"/>
        <w:spacing w:after="120"/>
        <w:textAlignment w:val="baseline"/>
      </w:pPr>
      <w:bookmarkStart w:id="1" w:name="_Ref75086397"/>
      <w:r>
        <w:t>RP-172290, “</w:t>
      </w:r>
      <w:r w:rsidRPr="00967D61">
        <w:rPr>
          <w:i/>
        </w:rPr>
        <w:t>Study on Integrated Access and Backhaul for NR</w:t>
      </w:r>
      <w:r>
        <w:t>”, AT&amp;T, Qualcomm, Samsung.</w:t>
      </w:r>
    </w:p>
    <w:p w14:paraId="3806EBCF" w14:textId="5BFC56C1" w:rsidR="00B57104" w:rsidRDefault="00967D61" w:rsidP="00B57104">
      <w:pPr>
        <w:numPr>
          <w:ilvl w:val="0"/>
          <w:numId w:val="4"/>
        </w:numPr>
        <w:overflowPunct w:val="0"/>
        <w:autoSpaceDE w:val="0"/>
        <w:autoSpaceDN w:val="0"/>
        <w:adjustRightInd w:val="0"/>
        <w:spacing w:after="120"/>
        <w:textAlignment w:val="baseline"/>
      </w:pPr>
      <w:r>
        <w:t>TR 38.874 v. 0.4.0, “</w:t>
      </w:r>
      <w:r w:rsidRPr="00967D61">
        <w:rPr>
          <w:i/>
        </w:rPr>
        <w:t>NR; Study on integrated access and backhaul</w:t>
      </w:r>
      <w:r>
        <w:t>”</w:t>
      </w:r>
    </w:p>
    <w:p w14:paraId="7A98FE68" w14:textId="723476D1" w:rsidR="00B57104" w:rsidRDefault="00B57104" w:rsidP="00B57104">
      <w:pPr>
        <w:numPr>
          <w:ilvl w:val="0"/>
          <w:numId w:val="4"/>
        </w:numPr>
        <w:overflowPunct w:val="0"/>
        <w:autoSpaceDE w:val="0"/>
        <w:autoSpaceDN w:val="0"/>
        <w:adjustRightInd w:val="0"/>
        <w:spacing w:after="120"/>
        <w:textAlignment w:val="baseline"/>
      </w:pPr>
      <w:bookmarkStart w:id="2" w:name="_Ref525296809"/>
      <w:r>
        <w:t>Draft Report of 3GPP TSG RAN WG1 #94 v0.1.0</w:t>
      </w:r>
      <w:bookmarkEnd w:id="2"/>
    </w:p>
    <w:p w14:paraId="21D8CDF1" w14:textId="6C6771AD" w:rsidR="00967D61" w:rsidRDefault="00B57104" w:rsidP="00B57104">
      <w:pPr>
        <w:numPr>
          <w:ilvl w:val="0"/>
          <w:numId w:val="4"/>
        </w:numPr>
        <w:overflowPunct w:val="0"/>
        <w:autoSpaceDE w:val="0"/>
        <w:autoSpaceDN w:val="0"/>
        <w:adjustRightInd w:val="0"/>
        <w:spacing w:after="120"/>
        <w:textAlignment w:val="baseline"/>
      </w:pPr>
      <w:bookmarkStart w:id="3" w:name="_Ref525307637"/>
      <w:r>
        <w:rPr>
          <w:lang w:val="en-US"/>
        </w:rPr>
        <w:t>Report of 3GPP TSG RAN WG1 #93 May 2018</w:t>
      </w:r>
      <w:bookmarkEnd w:id="3"/>
    </w:p>
    <w:p w14:paraId="7FAA4CD9" w14:textId="1B63F6B5" w:rsidR="00B57104" w:rsidRPr="00B57104" w:rsidRDefault="00B57104" w:rsidP="00B57104">
      <w:pPr>
        <w:pStyle w:val="ListParagraph"/>
        <w:numPr>
          <w:ilvl w:val="0"/>
          <w:numId w:val="4"/>
        </w:numPr>
        <w:spacing w:after="120"/>
        <w:rPr>
          <w:sz w:val="20"/>
          <w:lang w:val="en-US"/>
        </w:rPr>
      </w:pPr>
      <w:bookmarkStart w:id="4" w:name="_Ref525560854"/>
      <w:bookmarkEnd w:id="1"/>
      <w:r w:rsidRPr="00B57104">
        <w:rPr>
          <w:rFonts w:ascii="Times New Roman" w:hAnsi="Times New Roman" w:cs="Times New Roman"/>
          <w:sz w:val="20"/>
          <w:szCs w:val="20"/>
          <w:lang w:val="en-US"/>
        </w:rPr>
        <w:t>R1-18</w:t>
      </w:r>
      <w:r w:rsidRPr="00B57104">
        <w:rPr>
          <w:rFonts w:ascii="Times New Roman" w:hAnsi="Times New Roman" w:cs="Times New Roman"/>
          <w:color w:val="000000"/>
          <w:sz w:val="20"/>
          <w:szCs w:val="20"/>
        </w:rPr>
        <w:t>10677</w:t>
      </w:r>
      <w:r w:rsidRPr="00B57104">
        <w:rPr>
          <w:rFonts w:ascii="Times New Roman" w:hAnsi="Times New Roman" w:cs="Times New Roman"/>
          <w:sz w:val="20"/>
          <w:szCs w:val="20"/>
          <w:lang w:val="en-US"/>
        </w:rPr>
        <w:t xml:space="preserve"> </w:t>
      </w:r>
      <w:r w:rsidRPr="00B57104">
        <w:rPr>
          <w:rFonts w:ascii="Times New Roman" w:hAnsi="Times New Roman" w:cs="Times New Roman"/>
          <w:sz w:val="20"/>
          <w:lang w:val="en-US"/>
        </w:rPr>
        <w:t>“</w:t>
      </w:r>
      <w:r w:rsidRPr="00B57104">
        <w:rPr>
          <w:rFonts w:ascii="Times New Roman" w:hAnsi="Times New Roman" w:cs="Times New Roman"/>
          <w:i/>
          <w:sz w:val="20"/>
          <w:lang w:val="en-US"/>
        </w:rPr>
        <w:t>Discovery and measurements for IAB</w:t>
      </w:r>
      <w:r w:rsidRPr="00B57104">
        <w:rPr>
          <w:rFonts w:ascii="Times New Roman" w:hAnsi="Times New Roman" w:cs="Times New Roman"/>
          <w:sz w:val="20"/>
          <w:lang w:val="en-US"/>
        </w:rPr>
        <w:t>”, Nokia, Nokia Shanghai Bell</w:t>
      </w:r>
      <w:bookmarkEnd w:id="4"/>
    </w:p>
    <w:p w14:paraId="258CA678" w14:textId="42F9A22F" w:rsidR="00967D61" w:rsidRPr="00B57104" w:rsidRDefault="00967D61" w:rsidP="00B57104">
      <w:pPr>
        <w:spacing w:after="120"/>
        <w:rPr>
          <w:lang w:val="en-US"/>
        </w:rPr>
      </w:pPr>
    </w:p>
    <w:sectPr w:rsidR="00967D61" w:rsidRPr="00B5710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EA500" w14:textId="77777777" w:rsidR="00DB0540" w:rsidRDefault="00DB0540">
      <w:r>
        <w:separator/>
      </w:r>
    </w:p>
  </w:endnote>
  <w:endnote w:type="continuationSeparator" w:id="0">
    <w:p w14:paraId="7DD7AD20" w14:textId="77777777" w:rsidR="00DB0540" w:rsidRDefault="00DB0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8FC31"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2643C"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287CF"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59DA9" w14:textId="77777777" w:rsidR="00DB0540" w:rsidRDefault="00DB0540">
      <w:r>
        <w:separator/>
      </w:r>
    </w:p>
  </w:footnote>
  <w:footnote w:type="continuationSeparator" w:id="0">
    <w:p w14:paraId="4433842C" w14:textId="77777777" w:rsidR="00DB0540" w:rsidRDefault="00DB0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14911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BFF5C"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2CD55"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123A96"/>
    <w:multiLevelType w:val="hybridMultilevel"/>
    <w:tmpl w:val="B9880E0C"/>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FD26704"/>
    <w:multiLevelType w:val="hybridMultilevel"/>
    <w:tmpl w:val="AD9E1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1C3A7E"/>
    <w:multiLevelType w:val="hybridMultilevel"/>
    <w:tmpl w:val="75F82870"/>
    <w:lvl w:ilvl="0" w:tplc="0409001B">
      <w:start w:val="1"/>
      <w:numFmt w:val="low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761C6971"/>
    <w:multiLevelType w:val="hybridMultilevel"/>
    <w:tmpl w:val="C15A115C"/>
    <w:lvl w:ilvl="0" w:tplc="04090013">
      <w:start w:val="1"/>
      <w:numFmt w:val="upperRoman"/>
      <w:lvlText w:val="%1."/>
      <w:lvlJc w:val="righ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4D1DD1"/>
    <w:multiLevelType w:val="hybridMultilevel"/>
    <w:tmpl w:val="F90C05B4"/>
    <w:lvl w:ilvl="0" w:tplc="1736E76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5"/>
  </w:num>
  <w:num w:numId="6">
    <w:abstractNumId w:val="4"/>
  </w:num>
  <w:num w:numId="7">
    <w:abstractNumId w:val="10"/>
  </w:num>
  <w:num w:numId="8">
    <w:abstractNumId w:val="8"/>
  </w:num>
  <w:num w:numId="9">
    <w:abstractNumId w:val="6"/>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2C14"/>
    <w:rsid w:val="00033397"/>
    <w:rsid w:val="00040095"/>
    <w:rsid w:val="000803ED"/>
    <w:rsid w:val="00080512"/>
    <w:rsid w:val="00086092"/>
    <w:rsid w:val="00090468"/>
    <w:rsid w:val="00093C44"/>
    <w:rsid w:val="000B7BCF"/>
    <w:rsid w:val="000C522B"/>
    <w:rsid w:val="000C52EE"/>
    <w:rsid w:val="000D58AB"/>
    <w:rsid w:val="000E6741"/>
    <w:rsid w:val="001043ED"/>
    <w:rsid w:val="00112F1A"/>
    <w:rsid w:val="00145075"/>
    <w:rsid w:val="00172086"/>
    <w:rsid w:val="001741A0"/>
    <w:rsid w:val="00175FA0"/>
    <w:rsid w:val="001925DB"/>
    <w:rsid w:val="00194CD0"/>
    <w:rsid w:val="001A235C"/>
    <w:rsid w:val="001A7509"/>
    <w:rsid w:val="001B49C9"/>
    <w:rsid w:val="001C4F79"/>
    <w:rsid w:val="001F168B"/>
    <w:rsid w:val="001F7831"/>
    <w:rsid w:val="0020065A"/>
    <w:rsid w:val="00204045"/>
    <w:rsid w:val="0020712B"/>
    <w:rsid w:val="0022606D"/>
    <w:rsid w:val="00231728"/>
    <w:rsid w:val="00254250"/>
    <w:rsid w:val="002610D8"/>
    <w:rsid w:val="002747EC"/>
    <w:rsid w:val="002855BF"/>
    <w:rsid w:val="002A5B3E"/>
    <w:rsid w:val="002A61E5"/>
    <w:rsid w:val="002D553C"/>
    <w:rsid w:val="002F0D22"/>
    <w:rsid w:val="002F44C9"/>
    <w:rsid w:val="003172DC"/>
    <w:rsid w:val="00325AE3"/>
    <w:rsid w:val="00326069"/>
    <w:rsid w:val="0035462D"/>
    <w:rsid w:val="00364B41"/>
    <w:rsid w:val="003A41EF"/>
    <w:rsid w:val="003B40AD"/>
    <w:rsid w:val="003B4B8E"/>
    <w:rsid w:val="003C4B10"/>
    <w:rsid w:val="003C4E37"/>
    <w:rsid w:val="003E16BE"/>
    <w:rsid w:val="003F4E28"/>
    <w:rsid w:val="003F6E94"/>
    <w:rsid w:val="004006E8"/>
    <w:rsid w:val="00401855"/>
    <w:rsid w:val="0040417A"/>
    <w:rsid w:val="00427957"/>
    <w:rsid w:val="00447853"/>
    <w:rsid w:val="00477455"/>
    <w:rsid w:val="00487004"/>
    <w:rsid w:val="00495A71"/>
    <w:rsid w:val="004A1F7B"/>
    <w:rsid w:val="004A3145"/>
    <w:rsid w:val="004C44D2"/>
    <w:rsid w:val="004D3578"/>
    <w:rsid w:val="004D380D"/>
    <w:rsid w:val="004E213A"/>
    <w:rsid w:val="004E5167"/>
    <w:rsid w:val="00503171"/>
    <w:rsid w:val="00504AC6"/>
    <w:rsid w:val="00506C28"/>
    <w:rsid w:val="005131CD"/>
    <w:rsid w:val="00534DA0"/>
    <w:rsid w:val="00543E6C"/>
    <w:rsid w:val="005463AA"/>
    <w:rsid w:val="005625B8"/>
    <w:rsid w:val="00565087"/>
    <w:rsid w:val="0056573F"/>
    <w:rsid w:val="005B54DA"/>
    <w:rsid w:val="005B7562"/>
    <w:rsid w:val="00611566"/>
    <w:rsid w:val="00646D99"/>
    <w:rsid w:val="00656910"/>
    <w:rsid w:val="00680652"/>
    <w:rsid w:val="00686E1D"/>
    <w:rsid w:val="00696430"/>
    <w:rsid w:val="006B187F"/>
    <w:rsid w:val="006C66D8"/>
    <w:rsid w:val="006C70DE"/>
    <w:rsid w:val="006D1E24"/>
    <w:rsid w:val="006E1417"/>
    <w:rsid w:val="006F6A2C"/>
    <w:rsid w:val="00710201"/>
    <w:rsid w:val="007342B5"/>
    <w:rsid w:val="00734A5B"/>
    <w:rsid w:val="00744E76"/>
    <w:rsid w:val="00756EA1"/>
    <w:rsid w:val="00757D40"/>
    <w:rsid w:val="00781F0F"/>
    <w:rsid w:val="0078727C"/>
    <w:rsid w:val="0079049D"/>
    <w:rsid w:val="00793DC5"/>
    <w:rsid w:val="007A1810"/>
    <w:rsid w:val="007A369A"/>
    <w:rsid w:val="007B18D8"/>
    <w:rsid w:val="007C095F"/>
    <w:rsid w:val="007C2DD0"/>
    <w:rsid w:val="007D57A0"/>
    <w:rsid w:val="00800556"/>
    <w:rsid w:val="008028A4"/>
    <w:rsid w:val="00813245"/>
    <w:rsid w:val="00821050"/>
    <w:rsid w:val="0084438D"/>
    <w:rsid w:val="00861234"/>
    <w:rsid w:val="008768CA"/>
    <w:rsid w:val="00877EF9"/>
    <w:rsid w:val="00880559"/>
    <w:rsid w:val="008944A1"/>
    <w:rsid w:val="00894B9D"/>
    <w:rsid w:val="008B5306"/>
    <w:rsid w:val="008C343F"/>
    <w:rsid w:val="008D2E4D"/>
    <w:rsid w:val="008F2CD7"/>
    <w:rsid w:val="008F396F"/>
    <w:rsid w:val="0090271F"/>
    <w:rsid w:val="00902DB9"/>
    <w:rsid w:val="0090466A"/>
    <w:rsid w:val="009205E2"/>
    <w:rsid w:val="00936071"/>
    <w:rsid w:val="00940212"/>
    <w:rsid w:val="00942EC2"/>
    <w:rsid w:val="00961B32"/>
    <w:rsid w:val="00967D61"/>
    <w:rsid w:val="00970DB3"/>
    <w:rsid w:val="00974BB0"/>
    <w:rsid w:val="009A0AF3"/>
    <w:rsid w:val="009A548A"/>
    <w:rsid w:val="009B07CD"/>
    <w:rsid w:val="009B57EB"/>
    <w:rsid w:val="009C19E9"/>
    <w:rsid w:val="009D74A6"/>
    <w:rsid w:val="009E466E"/>
    <w:rsid w:val="00A10F02"/>
    <w:rsid w:val="00A204CA"/>
    <w:rsid w:val="00A21131"/>
    <w:rsid w:val="00A53724"/>
    <w:rsid w:val="00A771C6"/>
    <w:rsid w:val="00A82346"/>
    <w:rsid w:val="00A9671C"/>
    <w:rsid w:val="00AA1553"/>
    <w:rsid w:val="00AA581B"/>
    <w:rsid w:val="00AE70C4"/>
    <w:rsid w:val="00AF705D"/>
    <w:rsid w:val="00B05962"/>
    <w:rsid w:val="00B15449"/>
    <w:rsid w:val="00B27303"/>
    <w:rsid w:val="00B47FD1"/>
    <w:rsid w:val="00B512EE"/>
    <w:rsid w:val="00B516BB"/>
    <w:rsid w:val="00B57104"/>
    <w:rsid w:val="00B65D2C"/>
    <w:rsid w:val="00BC3555"/>
    <w:rsid w:val="00C06D74"/>
    <w:rsid w:val="00C12B51"/>
    <w:rsid w:val="00C24650"/>
    <w:rsid w:val="00C30F3C"/>
    <w:rsid w:val="00C33079"/>
    <w:rsid w:val="00C341A0"/>
    <w:rsid w:val="00C50943"/>
    <w:rsid w:val="00C51B25"/>
    <w:rsid w:val="00C758C0"/>
    <w:rsid w:val="00C83A13"/>
    <w:rsid w:val="00C9068C"/>
    <w:rsid w:val="00C92967"/>
    <w:rsid w:val="00CA3D0C"/>
    <w:rsid w:val="00CA654B"/>
    <w:rsid w:val="00CD4C7B"/>
    <w:rsid w:val="00D252EE"/>
    <w:rsid w:val="00D33BE3"/>
    <w:rsid w:val="00D3792D"/>
    <w:rsid w:val="00D55E47"/>
    <w:rsid w:val="00D6226E"/>
    <w:rsid w:val="00D62E19"/>
    <w:rsid w:val="00D67CD1"/>
    <w:rsid w:val="00D738D6"/>
    <w:rsid w:val="00D80795"/>
    <w:rsid w:val="00D8502C"/>
    <w:rsid w:val="00D854BE"/>
    <w:rsid w:val="00D87E00"/>
    <w:rsid w:val="00D9134D"/>
    <w:rsid w:val="00D96D11"/>
    <w:rsid w:val="00DA7A03"/>
    <w:rsid w:val="00DB0540"/>
    <w:rsid w:val="00DB0DB8"/>
    <w:rsid w:val="00DB1818"/>
    <w:rsid w:val="00DC309B"/>
    <w:rsid w:val="00DC4DA2"/>
    <w:rsid w:val="00DD5BA4"/>
    <w:rsid w:val="00DE1800"/>
    <w:rsid w:val="00E471CF"/>
    <w:rsid w:val="00E5073D"/>
    <w:rsid w:val="00E62835"/>
    <w:rsid w:val="00E77645"/>
    <w:rsid w:val="00E83697"/>
    <w:rsid w:val="00EA136E"/>
    <w:rsid w:val="00EC1A74"/>
    <w:rsid w:val="00EC4A25"/>
    <w:rsid w:val="00F013C4"/>
    <w:rsid w:val="00F025A2"/>
    <w:rsid w:val="00F07388"/>
    <w:rsid w:val="00F2026E"/>
    <w:rsid w:val="00F2210A"/>
    <w:rsid w:val="00F37743"/>
    <w:rsid w:val="00F54A3D"/>
    <w:rsid w:val="00F54CB0"/>
    <w:rsid w:val="00F653B8"/>
    <w:rsid w:val="00F71B89"/>
    <w:rsid w:val="00F7353C"/>
    <w:rsid w:val="00F76CA0"/>
    <w:rsid w:val="00F76F8F"/>
    <w:rsid w:val="00F86B48"/>
    <w:rsid w:val="00F941DF"/>
    <w:rsid w:val="00FA1266"/>
    <w:rsid w:val="00FB36FA"/>
    <w:rsid w:val="00FC1192"/>
    <w:rsid w:val="00FD7FCA"/>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C1A76"/>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67D61"/>
    <w:rPr>
      <w:rFonts w:ascii="Calibri" w:eastAsia="DengXian" w:hAnsi="Calibri" w:cs="Calibri"/>
      <w:sz w:val="22"/>
      <w:szCs w:val="22"/>
      <w:lang w:eastAsia="zh-CN"/>
    </w:rPr>
  </w:style>
  <w:style w:type="paragraph" w:styleId="ListParagraph">
    <w:name w:val="List Paragraph"/>
    <w:aliases w:val="- Bullets,목록 단락,リスト段落,?? ??,?????,????,Lista1,列出段落"/>
    <w:basedOn w:val="Normal"/>
    <w:link w:val="ListParagraphChar"/>
    <w:uiPriority w:val="34"/>
    <w:qFormat/>
    <w:rsid w:val="00967D61"/>
    <w:pPr>
      <w:spacing w:after="0"/>
      <w:ind w:left="720"/>
      <w:contextualSpacing/>
    </w:pPr>
    <w:rPr>
      <w:rFonts w:ascii="Calibri" w:eastAsia="DengXian" w:hAnsi="Calibri" w:cs="Calibri"/>
      <w:sz w:val="22"/>
      <w:szCs w:val="22"/>
      <w:lang w:eastAsia="zh-CN"/>
    </w:rPr>
  </w:style>
  <w:style w:type="paragraph" w:styleId="Caption">
    <w:name w:val="caption"/>
    <w:basedOn w:val="Normal"/>
    <w:next w:val="Normal"/>
    <w:unhideWhenUsed/>
    <w:qFormat/>
    <w:rsid w:val="004A3145"/>
    <w:pPr>
      <w:spacing w:after="200"/>
    </w:pPr>
    <w:rPr>
      <w:i/>
      <w:iCs/>
      <w:color w:val="44546A" w:themeColor="text2"/>
      <w:sz w:val="18"/>
      <w:szCs w:val="18"/>
    </w:rPr>
  </w:style>
  <w:style w:type="character" w:styleId="CommentReference">
    <w:name w:val="annotation reference"/>
    <w:basedOn w:val="DefaultParagraphFont"/>
    <w:rsid w:val="002F44C9"/>
    <w:rPr>
      <w:sz w:val="16"/>
      <w:szCs w:val="16"/>
    </w:rPr>
  </w:style>
  <w:style w:type="paragraph" w:styleId="CommentText">
    <w:name w:val="annotation text"/>
    <w:basedOn w:val="Normal"/>
    <w:link w:val="CommentTextChar"/>
    <w:rsid w:val="002F44C9"/>
  </w:style>
  <w:style w:type="character" w:customStyle="1" w:styleId="CommentTextChar">
    <w:name w:val="Comment Text Char"/>
    <w:basedOn w:val="DefaultParagraphFont"/>
    <w:link w:val="CommentText"/>
    <w:rsid w:val="002F44C9"/>
    <w:rPr>
      <w:lang w:eastAsia="en-US"/>
    </w:rPr>
  </w:style>
  <w:style w:type="paragraph" w:styleId="CommentSubject">
    <w:name w:val="annotation subject"/>
    <w:basedOn w:val="CommentText"/>
    <w:next w:val="CommentText"/>
    <w:link w:val="CommentSubjectChar"/>
    <w:rsid w:val="002F44C9"/>
    <w:rPr>
      <w:b/>
      <w:bCs/>
    </w:rPr>
  </w:style>
  <w:style w:type="character" w:customStyle="1" w:styleId="CommentSubjectChar">
    <w:name w:val="Comment Subject Char"/>
    <w:basedOn w:val="CommentTextChar"/>
    <w:link w:val="CommentSubject"/>
    <w:rsid w:val="002F44C9"/>
    <w:rPr>
      <w:b/>
      <w:bCs/>
      <w:lang w:eastAsia="en-US"/>
    </w:rPr>
  </w:style>
  <w:style w:type="paragraph" w:styleId="Revision">
    <w:name w:val="Revision"/>
    <w:hidden/>
    <w:uiPriority w:val="99"/>
    <w:semiHidden/>
    <w:rsid w:val="002F44C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3620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195197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1873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5AIRPNAIUNRU-859666464-3958</_dlc_DocId>
    <_dlc_DocIdUrl xmlns="71c5aaf6-e6ce-465b-b873-5148d2a4c105">
      <Url>https://nokia.sharepoint.com/sites/c5g/e2earch/_layouts/15/DocIdRedir.aspx?ID=5AIRPNAIUNRU-859666464-3958</Url>
      <Description>5AIRPNAIUNRU-859666464-3958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3b34c8f0-1ef5-4d1e-bb66-517ce7fe7356"/>
    <ds:schemaRef ds:uri="http://schemas.microsoft.com/office/2006/documentManagement/types"/>
    <ds:schemaRef ds:uri="http://purl.org/dc/dcmitype/"/>
    <ds:schemaRef ds:uri="http://purl.org/dc/terms/"/>
    <ds:schemaRef ds:uri="71c5aaf6-e6ce-465b-b873-5148d2a4c105"/>
    <ds:schemaRef ds:uri="http://schemas.openxmlformats.org/package/2006/metadata/core-properties"/>
    <ds:schemaRef ds:uri="http://schemas.microsoft.com/office/infopath/2007/PartnerControls"/>
    <ds:schemaRef ds:uri="83f22d2f-d16e-4be6-ad4f-29fa0b067c3c"/>
    <ds:schemaRef ds:uri="http://purl.org/dc/elements/1.1/"/>
    <ds:schemaRef ds:uri="a3840f4f-04be-43d1-b2ef-6ff1382503c7"/>
    <ds:schemaRef ds:uri="http://schemas.microsoft.com/office/2006/metadata/properties"/>
    <ds:schemaRef ds:uri="http://www.w3.org/XML/1998/namespace"/>
  </ds:schemaRefs>
</ds:datastoreItem>
</file>

<file path=customXml/itemProps6.xml><?xml version="1.0" encoding="utf-8"?>
<ds:datastoreItem xmlns:ds="http://schemas.openxmlformats.org/officeDocument/2006/customXml" ds:itemID="{8F3B7B0F-FE13-448D-BB5F-CF57E171D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7</Pages>
  <Words>2908</Words>
  <Characters>16580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19450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Korhonen, Juha S. (Nokia - FI/Espoo)</dc:creator>
  <cp:lastModifiedBy>Nokia</cp:lastModifiedBy>
  <cp:revision>4</cp:revision>
  <dcterms:created xsi:type="dcterms:W3CDTF">2018-09-28T05:23:00Z</dcterms:created>
  <dcterms:modified xsi:type="dcterms:W3CDTF">2018-09-28T05:44:00Z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a16e1a0a-32c5-4078-a616-b121b3663f55</vt:lpwstr>
  </property>
</Properties>
</file>